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072C13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09E63B8A" w:rsidR="007C328F" w:rsidRPr="00EF2F5D" w:rsidRDefault="00DA5592" w:rsidP="0086235F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3</w:t>
            </w:r>
            <w:r w:rsidR="0086235F"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1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86235F"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12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.201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9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64F5EA3A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EF28E2">
              <w:rPr>
                <w:rFonts w:ascii="Arial" w:hAnsi="Arial" w:cs="Arial"/>
              </w:rPr>
              <w:t xml:space="preserve"> </w:t>
            </w:r>
            <w:r w:rsidR="00EF28E2" w:rsidRPr="00EF28E2">
              <w:rPr>
                <w:rFonts w:ascii="Arial" w:hAnsi="Arial" w:cs="Arial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217D65">
              <w:rPr>
                <w:rFonts w:ascii="Arial" w:hAnsi="Arial" w:cs="Arial"/>
                <w:b/>
              </w:rPr>
              <w:t>, идентиф</w:t>
            </w:r>
            <w:r w:rsidR="006A5935">
              <w:rPr>
                <w:rFonts w:ascii="Arial" w:hAnsi="Arial" w:cs="Arial"/>
                <w:b/>
              </w:rPr>
              <w:t xml:space="preserve">икационный номер выпуска </w:t>
            </w:r>
            <w:r w:rsidR="00EF28E2" w:rsidRPr="00EF28E2">
              <w:rPr>
                <w:rFonts w:ascii="Arial" w:hAnsi="Arial" w:cs="Arial"/>
                <w:b/>
              </w:rPr>
              <w:t>4CDE-01-82416-H</w:t>
            </w:r>
            <w:r w:rsidRPr="00217D65">
              <w:rPr>
                <w:rFonts w:ascii="Arial" w:hAnsi="Arial" w:cs="Arial"/>
                <w:b/>
              </w:rPr>
              <w:t xml:space="preserve"> от </w:t>
            </w:r>
            <w:r w:rsidR="00EF28E2">
              <w:rPr>
                <w:rFonts w:ascii="Arial" w:hAnsi="Arial" w:cs="Arial"/>
                <w:b/>
              </w:rPr>
              <w:t>03</w:t>
            </w:r>
            <w:r w:rsidRPr="00217D65">
              <w:rPr>
                <w:rFonts w:ascii="Arial" w:hAnsi="Arial" w:cs="Arial"/>
                <w:b/>
              </w:rPr>
              <w:t>.0</w:t>
            </w:r>
            <w:r w:rsidR="00EF28E2">
              <w:rPr>
                <w:rFonts w:ascii="Arial" w:hAnsi="Arial" w:cs="Arial"/>
                <w:b/>
              </w:rPr>
              <w:t>9</w:t>
            </w:r>
            <w:r w:rsidRPr="00217D65">
              <w:rPr>
                <w:rFonts w:ascii="Arial" w:hAnsi="Arial" w:cs="Arial"/>
                <w:b/>
              </w:rPr>
              <w:t>.201</w:t>
            </w:r>
            <w:r w:rsidR="00EF28E2">
              <w:rPr>
                <w:rFonts w:ascii="Arial" w:hAnsi="Arial" w:cs="Arial"/>
                <w:b/>
              </w:rPr>
              <w:t>9</w:t>
            </w:r>
            <w:r w:rsidRPr="00217D65">
              <w:rPr>
                <w:rFonts w:ascii="Arial" w:hAnsi="Arial" w:cs="Arial"/>
                <w:b/>
              </w:rPr>
              <w:t xml:space="preserve">, международный код (номер) идентификации ценных бумаг (ISIN) </w:t>
            </w:r>
            <w:r w:rsidR="00F162CC" w:rsidRPr="00F162CC">
              <w:rPr>
                <w:rFonts w:ascii="Arial" w:hAnsi="Arial" w:cs="Arial"/>
                <w:b/>
              </w:rPr>
              <w:t>RU000A100UQ8</w:t>
            </w:r>
            <w:r w:rsidR="00F162CC" w:rsidRPr="00F162CC" w:rsidDel="00F162CC">
              <w:rPr>
                <w:rFonts w:ascii="Arial" w:hAnsi="Arial" w:cs="Arial"/>
                <w:b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(далее – «</w:t>
            </w:r>
            <w:r w:rsidR="00F162CC">
              <w:rPr>
                <w:rFonts w:ascii="Arial" w:hAnsi="Arial" w:cs="Arial"/>
                <w:b/>
              </w:rPr>
              <w:t>Коммерческие облигации</w:t>
            </w:r>
            <w:r w:rsidRPr="00217D65">
              <w:rPr>
                <w:rFonts w:ascii="Arial" w:hAnsi="Arial" w:cs="Arial"/>
                <w:b/>
              </w:rPr>
              <w:t>»).</w:t>
            </w:r>
          </w:p>
          <w:p w14:paraId="68297BF5" w14:textId="753F8308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="008912F5" w:rsidRPr="008912F5">
              <w:t>4CDE-01-82416-H от 03.09.2019</w:t>
            </w:r>
          </w:p>
          <w:p w14:paraId="1A854757" w14:textId="3620D2A0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86235F">
              <w:t>второй</w:t>
            </w:r>
            <w:r w:rsidRPr="00217D65">
              <w:rPr>
                <w:bCs w:val="0"/>
              </w:rPr>
              <w:t xml:space="preserve"> 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86235F" w:rsidRPr="0086235F">
              <w:t>3</w:t>
            </w:r>
            <w:r w:rsidR="009D2521">
              <w:t>0</w:t>
            </w:r>
            <w:r w:rsidR="00217D65" w:rsidRPr="00EF2F5D">
              <w:t>.</w:t>
            </w:r>
            <w:r w:rsidR="006A5935">
              <w:t>0</w:t>
            </w:r>
            <w:r w:rsidR="009D2521">
              <w:t>9</w:t>
            </w:r>
            <w:r w:rsidR="0052023E" w:rsidRPr="00EF2F5D">
              <w:t>.201</w:t>
            </w:r>
            <w:r w:rsidR="006A5935">
              <w:t>9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9D2521">
              <w:t>3</w:t>
            </w:r>
            <w:r w:rsidR="0086235F" w:rsidRPr="0086235F">
              <w:t>1</w:t>
            </w:r>
            <w:r w:rsidR="0052023E" w:rsidRPr="00EF2F5D">
              <w:t>.</w:t>
            </w:r>
            <w:r w:rsidR="0086235F" w:rsidRPr="0086235F">
              <w:t>12</w:t>
            </w:r>
            <w:r w:rsidR="00217D65" w:rsidRPr="00EF2F5D">
              <w:t>.201</w:t>
            </w:r>
            <w:r w:rsidR="007253A5">
              <w:t>9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0F5A0AEB"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</w:t>
            </w:r>
            <w:r w:rsidR="00952EAF">
              <w:t>Коммерческим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="006068FA">
              <w:t>второ</w:t>
            </w:r>
            <w:r w:rsidR="006A5935">
              <w:t>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86235F" w:rsidRPr="0086235F">
              <w:t>9</w:t>
            </w:r>
            <w:r w:rsidR="007253A5" w:rsidRPr="00952EAF">
              <w:t>,</w:t>
            </w:r>
            <w:r w:rsidR="0086235F" w:rsidRPr="0086235F">
              <w:t>95</w:t>
            </w:r>
            <w:r w:rsidR="00E10170" w:rsidRPr="00952EAF">
              <w:t>%</w:t>
            </w:r>
            <w:r w:rsidR="00E10170" w:rsidRPr="00EF2F5D">
              <w:t xml:space="preserve"> годовых или </w:t>
            </w:r>
            <w:r w:rsidR="0086235F" w:rsidRPr="0086235F">
              <w:t xml:space="preserve">129 952 054.79 </w:t>
            </w:r>
            <w:r w:rsidRPr="00EF2F5D">
              <w:t>руб.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952EAF">
              <w:t>Коммерческой</w:t>
            </w:r>
            <w:r w:rsidR="0052023E" w:rsidRPr="00217D65">
              <w:t xml:space="preserve"> </w:t>
            </w:r>
            <w:r w:rsidR="00944FCF" w:rsidRPr="00217D65">
              <w:t xml:space="preserve">облигации за </w:t>
            </w:r>
            <w:r w:rsidR="0086235F">
              <w:t>второй</w:t>
            </w:r>
            <w:r w:rsidR="003F76B3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86235F" w:rsidRPr="0086235F">
              <w:t>129</w:t>
            </w:r>
            <w:r w:rsidR="0086235F">
              <w:t xml:space="preserve"> </w:t>
            </w:r>
            <w:r w:rsidR="0086235F" w:rsidRPr="0086235F">
              <w:t>952</w:t>
            </w:r>
            <w:r w:rsidR="0086235F">
              <w:t xml:space="preserve"> </w:t>
            </w:r>
            <w:r w:rsidR="0086235F" w:rsidRPr="0086235F">
              <w:t xml:space="preserve">054.79 </w:t>
            </w:r>
            <w:r w:rsidR="0052023E" w:rsidRPr="00EF2F5D">
              <w:t>руб.</w:t>
            </w:r>
          </w:p>
          <w:p w14:paraId="763F8288" w14:textId="5D6CDA3A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="00952EAF">
              <w:t>1</w:t>
            </w:r>
            <w:r w:rsidRPr="00217D65">
              <w:t xml:space="preserve"> штук</w:t>
            </w:r>
            <w:r w:rsidR="00952EAF">
              <w:t>а</w:t>
            </w:r>
            <w:r w:rsidRPr="00217D65">
              <w:t>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13C1E1B5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="006068FA">
              <w:t>30</w:t>
            </w:r>
            <w:r w:rsidR="00C4409C">
              <w:t>.</w:t>
            </w:r>
            <w:r w:rsidR="006068FA">
              <w:t>12</w:t>
            </w:r>
            <w:r w:rsidRPr="00EF2F5D">
              <w:t>.201</w:t>
            </w:r>
            <w:r w:rsidR="00C4409C">
              <w:t>9</w:t>
            </w:r>
            <w:r w:rsidRPr="00EF2F5D">
              <w:t xml:space="preserve"> г.</w:t>
            </w:r>
          </w:p>
          <w:p w14:paraId="4A5CD2B1" w14:textId="64F32245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="00952EAF">
              <w:t>3</w:t>
            </w:r>
            <w:r w:rsidR="006068FA">
              <w:t>1</w:t>
            </w:r>
            <w:r w:rsidRPr="00EF2F5D">
              <w:t>.</w:t>
            </w:r>
            <w:r w:rsidR="006068FA">
              <w:t>12</w:t>
            </w:r>
            <w:r w:rsidRPr="00EF2F5D">
              <w:t>.201</w:t>
            </w:r>
            <w:r w:rsidR="00C4409C">
              <w:t>9</w:t>
            </w:r>
            <w:r w:rsidRPr="00EF2F5D">
              <w:t xml:space="preserve"> г.</w:t>
            </w:r>
          </w:p>
          <w:p w14:paraId="660BB3A7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7B47E60E" w:rsidR="00217D65" w:rsidRPr="00217D65" w:rsidRDefault="006068FA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6068FA">
              <w:t xml:space="preserve">129 952 054.79 </w:t>
            </w:r>
            <w:r w:rsidR="00217D65" w:rsidRPr="00EF2F5D">
              <w:t>руб. (</w:t>
            </w:r>
            <w:r>
              <w:t>Сто двадцать девять миллионов девятьсот пятьдесят две тысячи пятьдесят четыре рубля 79</w:t>
            </w:r>
            <w:r w:rsidR="00217D65" w:rsidRPr="00EF2F5D">
              <w:t xml:space="preserve"> копеек)</w:t>
            </w:r>
            <w:r w:rsidR="00217D65" w:rsidRPr="00EF2F5D">
              <w:rPr>
                <w:b w:val="0"/>
              </w:rPr>
              <w:t>.</w:t>
            </w:r>
          </w:p>
          <w:p w14:paraId="6B643F40" w14:textId="4E2EF51F" w:rsidR="00CF00BE" w:rsidRPr="00217D65" w:rsidRDefault="00217D65" w:rsidP="006068FA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6068FA">
              <w:rPr>
                <w:rFonts w:ascii="Arial" w:hAnsi="Arial" w:cs="Arial"/>
                <w:b/>
              </w:rPr>
              <w:t>2</w:t>
            </w:r>
            <w:r w:rsidRPr="00217D65">
              <w:rPr>
                <w:rFonts w:ascii="Arial" w:hAnsi="Arial" w:cs="Arial"/>
                <w:b/>
              </w:rPr>
              <w:t xml:space="preserve"> купонный период по </w:t>
            </w:r>
            <w:r w:rsidR="00952EAF">
              <w:rPr>
                <w:rFonts w:ascii="Arial" w:hAnsi="Arial" w:cs="Arial"/>
                <w:b/>
              </w:rPr>
              <w:t>Коммерческим</w:t>
            </w:r>
            <w:r w:rsidRPr="00217D65">
              <w:rPr>
                <w:rFonts w:ascii="Arial" w:hAnsi="Arial" w:cs="Arial"/>
                <w:b/>
              </w:rPr>
              <w:t xml:space="preserve">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7A7E75E8" w:rsidR="00B85766" w:rsidRPr="00217D65" w:rsidRDefault="00952EAF" w:rsidP="00606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068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67B8124E" w:rsidR="00B85766" w:rsidRPr="00217D65" w:rsidRDefault="006068FA" w:rsidP="00606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17C0E87A" w:rsidR="00B85766" w:rsidRPr="00217D65" w:rsidRDefault="00B85766" w:rsidP="00C4409C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</w:t>
            </w:r>
            <w:r w:rsidR="00C4409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72C13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617C-2456-48EE-8871-5CF17E02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2019-09-30T09:18:00Z</cp:lastPrinted>
  <dcterms:created xsi:type="dcterms:W3CDTF">2020-12-08T07:20:00Z</dcterms:created>
  <dcterms:modified xsi:type="dcterms:W3CDTF">2020-12-08T07:20:00Z</dcterms:modified>
</cp:coreProperties>
</file>