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71" w:rsidRPr="008C37E6" w:rsidRDefault="00470971" w:rsidP="00470971">
      <w:pPr>
        <w:tabs>
          <w:tab w:val="left" w:pos="172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8C37E6">
        <w:rPr>
          <w:rFonts w:ascii="Times New Roman" w:hAnsi="Times New Roman"/>
          <w:b/>
          <w:sz w:val="24"/>
          <w:szCs w:val="24"/>
        </w:rPr>
        <w:t>Форма 20.10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756"/>
        <w:gridCol w:w="1411"/>
        <w:gridCol w:w="1039"/>
        <w:gridCol w:w="14"/>
        <w:gridCol w:w="1293"/>
        <w:gridCol w:w="1336"/>
        <w:gridCol w:w="1393"/>
        <w:gridCol w:w="39"/>
        <w:gridCol w:w="1310"/>
      </w:tblGrid>
      <w:tr w:rsidR="00470971" w:rsidRPr="008C37E6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создания документа</w:t>
            </w:r>
          </w:p>
        </w:tc>
        <w:tc>
          <w:tcPr>
            <w:tcW w:w="5085" w:type="dxa"/>
            <w:gridSpan w:val="5"/>
            <w:shd w:val="clear" w:color="auto" w:fill="auto"/>
          </w:tcPr>
          <w:p w:rsidR="00470971" w:rsidRPr="008C37E6" w:rsidRDefault="00470971" w:rsidP="002F6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C5E">
              <w:rPr>
                <w:rFonts w:ascii="Times New Roman" w:hAnsi="Times New Roman"/>
                <w:sz w:val="24"/>
                <w:szCs w:val="24"/>
              </w:rPr>
              <w:t>_</w:t>
            </w:r>
            <w:r w:rsidR="002F660A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E94C5E">
              <w:rPr>
                <w:rFonts w:ascii="Times New Roman" w:hAnsi="Times New Roman"/>
                <w:sz w:val="24"/>
                <w:szCs w:val="24"/>
              </w:rPr>
              <w:t>/</w:t>
            </w:r>
            <w:r w:rsidR="00023109" w:rsidRPr="00E94C5E">
              <w:rPr>
                <w:rFonts w:ascii="Times New Roman" w:hAnsi="Times New Roman"/>
                <w:sz w:val="24"/>
                <w:szCs w:val="24"/>
              </w:rPr>
              <w:t>0</w:t>
            </w:r>
            <w:r w:rsidR="000D3275">
              <w:rPr>
                <w:rFonts w:ascii="Times New Roman" w:hAnsi="Times New Roman"/>
                <w:sz w:val="24"/>
                <w:szCs w:val="24"/>
              </w:rPr>
              <w:t>6</w:t>
            </w:r>
            <w:r w:rsidRPr="00E94C5E">
              <w:rPr>
                <w:rFonts w:ascii="Times New Roman" w:hAnsi="Times New Roman"/>
                <w:sz w:val="24"/>
                <w:szCs w:val="24"/>
              </w:rPr>
              <w:t>__/</w:t>
            </w:r>
            <w:r w:rsidR="00023109" w:rsidRPr="00E94C5E">
              <w:rPr>
                <w:rFonts w:ascii="Times New Roman" w:hAnsi="Times New Roman"/>
                <w:sz w:val="24"/>
                <w:szCs w:val="24"/>
              </w:rPr>
              <w:t>2022</w:t>
            </w:r>
            <w:r w:rsidRPr="00E94C5E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470971" w:rsidRPr="008C37E6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ИНН Эмитента </w:t>
            </w:r>
          </w:p>
        </w:tc>
        <w:tc>
          <w:tcPr>
            <w:tcW w:w="7532" w:type="dxa"/>
            <w:gridSpan w:val="8"/>
            <w:shd w:val="clear" w:color="auto" w:fill="auto"/>
          </w:tcPr>
          <w:p w:rsidR="00470971" w:rsidRPr="008C37E6" w:rsidRDefault="00C274E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Акционерное общество «АВТОБАН-</w:t>
            </w:r>
            <w:proofErr w:type="spellStart"/>
            <w:r w:rsidRPr="008C37E6">
              <w:rPr>
                <w:rFonts w:ascii="Times New Roman" w:hAnsi="Times New Roman"/>
                <w:sz w:val="24"/>
                <w:szCs w:val="24"/>
              </w:rPr>
              <w:t>Финанс</w:t>
            </w:r>
            <w:proofErr w:type="spellEnd"/>
            <w:r w:rsidRPr="008C37E6">
              <w:rPr>
                <w:rFonts w:ascii="Times New Roman" w:hAnsi="Times New Roman"/>
                <w:sz w:val="24"/>
                <w:szCs w:val="24"/>
              </w:rPr>
              <w:t>», ИНН 7708813750</w:t>
            </w:r>
          </w:p>
        </w:tc>
      </w:tr>
      <w:tr w:rsidR="00470971" w:rsidRPr="008C37E6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Электронная почта, телефон контактного лица Эмитента</w:t>
            </w:r>
          </w:p>
        </w:tc>
        <w:tc>
          <w:tcPr>
            <w:tcW w:w="7532" w:type="dxa"/>
            <w:gridSpan w:val="8"/>
            <w:shd w:val="clear" w:color="auto" w:fill="auto"/>
          </w:tcPr>
          <w:p w:rsidR="00470971" w:rsidRPr="008C37E6" w:rsidRDefault="00C274E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s.nuriyakhmetova@avtoban.ru +79175782733</w:t>
            </w:r>
          </w:p>
        </w:tc>
      </w:tr>
      <w:tr w:rsidR="00470971" w:rsidRPr="008C37E6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Пункт Положения № 751-П, на основании которого направляется информация</w:t>
            </w:r>
          </w:p>
        </w:tc>
        <w:tc>
          <w:tcPr>
            <w:tcW w:w="7532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70971" w:rsidRPr="008C37E6" w:rsidRDefault="00C274E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</w:tr>
      <w:tr w:rsidR="00470971" w:rsidRPr="008C37E6" w:rsidTr="00A159CA">
        <w:trPr>
          <w:trHeight w:val="192"/>
        </w:trPr>
        <w:tc>
          <w:tcPr>
            <w:tcW w:w="1505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71" w:rsidRPr="008C37E6" w:rsidRDefault="0077130E" w:rsidP="00C274E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  <w:highlight w:val="lightGray"/>
              </w:rPr>
              <w:sym w:font="Wingdings" w:char="F06F"/>
            </w:r>
            <w:r w:rsidR="00470971" w:rsidRPr="008C37E6">
              <w:rPr>
                <w:rFonts w:ascii="Times New Roman" w:hAnsi="Times New Roman"/>
                <w:b/>
                <w:sz w:val="24"/>
                <w:szCs w:val="24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информации, ранее предоставленной центральному депозитарию (п. 2.3 Положения № 751-П)</w:t>
            </w:r>
          </w:p>
        </w:tc>
      </w:tr>
      <w:tr w:rsidR="00470971" w:rsidRPr="008C37E6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Ссылка на ранее предоставленную информацию, которая изменяется (корректируется):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pStyle w:val="a3"/>
              <w:spacing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77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77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__/__/____</w:t>
            </w:r>
          </w:p>
        </w:tc>
      </w:tr>
      <w:tr w:rsidR="00470971" w:rsidRPr="008C37E6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 xml:space="preserve">Краткое описание внесенных изменений в ранее предоставленную информацию </w:t>
            </w:r>
            <w:r w:rsidRPr="008C37E6">
              <w:rPr>
                <w:rFonts w:ascii="Times New Roman" w:eastAsiaTheme="minorHAnsi" w:hAnsi="Times New Roman"/>
                <w:sz w:val="24"/>
                <w:szCs w:val="24"/>
              </w:rPr>
              <w:t>и причины (обстоятельства), послужившие основанием для их внесения</w:t>
            </w:r>
            <w:r w:rsidRPr="008C37E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32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pStyle w:val="a3"/>
              <w:spacing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971" w:rsidRPr="008C37E6" w:rsidTr="00A159CA">
        <w:trPr>
          <w:trHeight w:val="174"/>
        </w:trPr>
        <w:tc>
          <w:tcPr>
            <w:tcW w:w="1505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71" w:rsidRPr="008C37E6" w:rsidRDefault="00470971" w:rsidP="004709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37E6">
              <w:rPr>
                <w:rFonts w:ascii="Times New Roman" w:hAnsi="Times New Roman"/>
                <w:b/>
                <w:sz w:val="24"/>
                <w:szCs w:val="24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(п. 2.4 Положения № 751-П)</w:t>
            </w:r>
          </w:p>
        </w:tc>
      </w:tr>
      <w:tr w:rsidR="00470971" w:rsidRPr="008C37E6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принятия решения; орган управления (уполномоченное лицо) Эмитента, принявший решение; дата составления и номер протокола заседания (собрания) органа управления Эмитента (если  решение принято коллегиальным органом управления Эмитента):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70971" w:rsidRPr="008C37E6" w:rsidRDefault="00470971" w:rsidP="00A159CA">
            <w:pPr>
              <w:pStyle w:val="a3"/>
              <w:spacing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971" w:rsidRPr="008C37E6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470971" w:rsidRPr="008C37E6" w:rsidRDefault="0047097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eastAsiaTheme="minorHAnsi" w:hAnsi="Times New Roman"/>
                <w:sz w:val="24"/>
                <w:szCs w:val="24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532" w:type="dxa"/>
            <w:gridSpan w:val="8"/>
            <w:shd w:val="clear" w:color="auto" w:fill="auto"/>
          </w:tcPr>
          <w:p w:rsidR="00470971" w:rsidRPr="008C37E6" w:rsidRDefault="00470971" w:rsidP="00A159CA">
            <w:pPr>
              <w:pStyle w:val="a3"/>
              <w:spacing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971" w:rsidRPr="008C37E6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470971" w:rsidRPr="008C37E6" w:rsidRDefault="0047097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37E6">
              <w:rPr>
                <w:rFonts w:ascii="Times New Roman" w:eastAsiaTheme="minorHAnsi" w:hAnsi="Times New Roman"/>
                <w:sz w:val="24"/>
                <w:szCs w:val="24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70971" w:rsidRPr="008C37E6" w:rsidRDefault="00470971" w:rsidP="00A159CA">
            <w:pPr>
              <w:pStyle w:val="a3"/>
              <w:spacing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061" w:type="dxa"/>
            <w:shd w:val="clear" w:color="auto" w:fill="auto"/>
          </w:tcPr>
          <w:p w:rsidR="00470971" w:rsidRPr="008C37E6" w:rsidRDefault="00470971" w:rsidP="00A15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__/__/____</w:t>
            </w:r>
          </w:p>
        </w:tc>
      </w:tr>
    </w:tbl>
    <w:p w:rsidR="00470971" w:rsidRPr="008C37E6" w:rsidRDefault="00470971" w:rsidP="00470971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8C37E6">
        <w:rPr>
          <w:rFonts w:ascii="Times New Roman" w:hAnsi="Times New Roman"/>
          <w:b/>
          <w:sz w:val="24"/>
          <w:szCs w:val="24"/>
        </w:rPr>
        <w:t>20.10. Информация об определении размера процента (купона) по облигациям*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4"/>
        <w:gridCol w:w="7147"/>
      </w:tblGrid>
      <w:tr w:rsidR="00470971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470971" w:rsidP="00A1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 xml:space="preserve">Вид, категория (тип), серия (при наличии) и иные идентификационные признаки ценных бумаг эмитента, по которым </w:t>
            </w:r>
            <w:r w:rsidRPr="008C37E6">
              <w:rPr>
                <w:rFonts w:ascii="Times New Roman" w:hAnsi="Times New Roman"/>
                <w:sz w:val="24"/>
                <w:szCs w:val="24"/>
              </w:rPr>
              <w:lastRenderedPageBreak/>
              <w:t>начислены (объявлены) доходы, указанные в решении о выпуске ценных бумаг: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9D0AC7" w:rsidP="00C27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</w:tc>
      </w:tr>
      <w:tr w:rsidR="00470971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470971" w:rsidP="00A1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9D0AC7" w:rsidP="00C274E1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4CDE-01-82416-H от 03.09.2019</w:t>
            </w:r>
          </w:p>
        </w:tc>
      </w:tr>
      <w:tr w:rsidR="00470971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470971" w:rsidP="00A1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Орган управления (уполномоченное должностное лицо) эмитента, принявший (принявшее) решение об определении размера (о порядке определения размера) процента (купонного дохода) по облигациям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9D0AC7" w:rsidP="00C274E1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директоров</w:t>
            </w:r>
          </w:p>
        </w:tc>
      </w:tr>
      <w:tr w:rsidR="00470971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470971" w:rsidP="00A1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принятия решения об определении размера (о порядке определения размера) процента (купонного дохода) по облигациям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900984" w:rsidP="005404F4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40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 2019</w:t>
            </w:r>
          </w:p>
        </w:tc>
      </w:tr>
      <w:tr w:rsidR="00470971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470971" w:rsidP="00A1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4" w:rsidRPr="008C37E6" w:rsidRDefault="00900984" w:rsidP="00900984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№б/н</w:t>
            </w:r>
          </w:p>
          <w:p w:rsidR="00900984" w:rsidRPr="008C37E6" w:rsidRDefault="00900984" w:rsidP="00900984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внеочередного заседания Совета директоров</w:t>
            </w:r>
          </w:p>
          <w:p w:rsidR="00470971" w:rsidRPr="008C37E6" w:rsidRDefault="00900984" w:rsidP="00900984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Акционерного общества «АВТОБАН-</w:t>
            </w:r>
            <w:proofErr w:type="spellStart"/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от 23.08.2019</w:t>
            </w:r>
          </w:p>
        </w:tc>
      </w:tr>
      <w:tr w:rsidR="00470971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470971" w:rsidP="00A1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Отчетный (купонный) период (год; 3, 6, 9 месяцев года; иной период; даты начала и окончания купонного периода), за который начислены (объявлены)  доходы по ценным бумагам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8C37E6" w:rsidRDefault="00C27A34" w:rsidP="00577026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023109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по </w:t>
            </w:r>
            <w:r w:rsidR="00900984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23109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23109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27A34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C27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 xml:space="preserve">Общий размер начисленных (подлежащих выплате) доходов по ценным бумагам эмитента (общий размер процентов (купонного </w:t>
            </w:r>
            <w:r w:rsidRPr="008C37E6">
              <w:rPr>
                <w:rFonts w:ascii="Times New Roman" w:hAnsi="Times New Roman"/>
                <w:sz w:val="24"/>
                <w:szCs w:val="24"/>
              </w:rPr>
              <w:lastRenderedPageBreak/>
              <w:t>дохода), начисленных (подлежащих выплате) по облигациям эмитента определенного выпуска):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1D7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размер процентов, подлежащих выплате по </w:t>
            </w:r>
            <w:r w:rsidR="00900984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Коммерческой облигации 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двена</w:t>
            </w:r>
            <w:r w:rsidR="00023109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дца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тый купонный период, составляет </w:t>
            </w:r>
            <w:r w:rsidR="001D7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192 945 205,48</w:t>
            </w:r>
            <w:r w:rsidR="009C6527" w:rsidRPr="009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</w:t>
            </w:r>
          </w:p>
        </w:tc>
      </w:tr>
      <w:tr w:rsidR="00C27A34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C27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Размер начисленных (подлежащих выплате) доходов в расчете на одну ценную бумагу эмитента (размер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DC48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процентов, подлежащих выплате по одной </w:t>
            </w:r>
            <w:r w:rsidR="00900984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Коммерческой облигации 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двена</w:t>
            </w:r>
            <w:r w:rsidR="00E7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дцатый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купонный период, составляет </w:t>
            </w:r>
            <w:r w:rsidR="00DC4883" w:rsidRPr="00DC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192 945 205,48 </w:t>
            </w:r>
            <w:r w:rsidR="00DC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коп. 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B0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C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00984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C4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00984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годовых).</w:t>
            </w:r>
          </w:p>
        </w:tc>
      </w:tr>
      <w:tr w:rsidR="00C27A34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C27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Форма выплаты доходов по ценным бумагам эмитента (денежные средства, иное имущество):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C27A34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денежной форме в безналичном порядке в российских рублях</w:t>
            </w:r>
          </w:p>
        </w:tc>
      </w:tr>
      <w:tr w:rsidR="00C27A34" w:rsidRPr="008C37E6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C27A34" w:rsidP="00C27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7E6">
              <w:rPr>
                <w:rFonts w:ascii="Times New Roman" w:hAnsi="Times New Roman"/>
                <w:sz w:val="24"/>
                <w:szCs w:val="24"/>
              </w:rPr>
              <w:t>Дата, в которую обязанность по выплате доходов по ценным бумагам эмитента (процентов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34" w:rsidRPr="008C37E6" w:rsidRDefault="009529E2" w:rsidP="00577026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722C0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7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7130E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722C0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7A34" w:rsidRPr="008C3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70971" w:rsidRPr="008C37E6" w:rsidRDefault="00470971" w:rsidP="00470971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8C37E6">
        <w:rPr>
          <w:rFonts w:ascii="Times New Roman" w:hAnsi="Times New Roman"/>
          <w:sz w:val="24"/>
          <w:szCs w:val="24"/>
        </w:rPr>
        <w:t>* Предоставляется в случае, если размер процента (купона) по облигациям определяется после регистрации выпуска облигаций.</w:t>
      </w:r>
    </w:p>
    <w:p w:rsidR="00007DD6" w:rsidRDefault="00007DD6">
      <w:pPr>
        <w:rPr>
          <w:rFonts w:ascii="Times New Roman" w:hAnsi="Times New Roman"/>
          <w:sz w:val="24"/>
          <w:szCs w:val="24"/>
        </w:rPr>
      </w:pPr>
    </w:p>
    <w:p w:rsidR="008C37E6" w:rsidRDefault="008C37E6">
      <w:pPr>
        <w:rPr>
          <w:rFonts w:ascii="Times New Roman" w:hAnsi="Times New Roman"/>
          <w:sz w:val="24"/>
          <w:szCs w:val="24"/>
        </w:rPr>
      </w:pPr>
    </w:p>
    <w:sectPr w:rsidR="008C37E6" w:rsidSect="00470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1"/>
    <w:rsid w:val="00007DD6"/>
    <w:rsid w:val="00023109"/>
    <w:rsid w:val="000D3275"/>
    <w:rsid w:val="001D73E5"/>
    <w:rsid w:val="002A5935"/>
    <w:rsid w:val="002F660A"/>
    <w:rsid w:val="003112AC"/>
    <w:rsid w:val="00470971"/>
    <w:rsid w:val="005404F4"/>
    <w:rsid w:val="00577026"/>
    <w:rsid w:val="005F2608"/>
    <w:rsid w:val="0077130E"/>
    <w:rsid w:val="007F7250"/>
    <w:rsid w:val="008C37E6"/>
    <w:rsid w:val="00900984"/>
    <w:rsid w:val="009529E2"/>
    <w:rsid w:val="009C6527"/>
    <w:rsid w:val="009D0AC7"/>
    <w:rsid w:val="00C274E1"/>
    <w:rsid w:val="00C27A34"/>
    <w:rsid w:val="00C722C0"/>
    <w:rsid w:val="00DC4883"/>
    <w:rsid w:val="00E73147"/>
    <w:rsid w:val="00E94C5E"/>
    <w:rsid w:val="00EE09A4"/>
    <w:rsid w:val="00F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121"/>
  <w15:chartTrackingRefBased/>
  <w15:docId w15:val="{6430FA1D-5D36-4C24-8321-21ED110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470971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470971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11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Нурияхметова Светлана Владимировна</cp:lastModifiedBy>
  <cp:revision>2</cp:revision>
  <cp:lastPrinted>2022-02-15T12:51:00Z</cp:lastPrinted>
  <dcterms:created xsi:type="dcterms:W3CDTF">2022-06-30T08:35:00Z</dcterms:created>
  <dcterms:modified xsi:type="dcterms:W3CDTF">2022-06-30T08:35:00Z</dcterms:modified>
</cp:coreProperties>
</file>