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C9" w:rsidRPr="002472A5" w:rsidRDefault="008126C9" w:rsidP="008126C9">
      <w:pPr>
        <w:jc w:val="center"/>
        <w:rPr>
          <w:b/>
          <w:bCs/>
        </w:rPr>
      </w:pPr>
      <w:r w:rsidRPr="002472A5">
        <w:rPr>
          <w:b/>
          <w:bCs/>
        </w:rPr>
        <w:t>Сообщение о существенном факте</w:t>
      </w:r>
    </w:p>
    <w:p w:rsidR="008126C9" w:rsidRPr="002472A5" w:rsidRDefault="008126C9" w:rsidP="008126C9">
      <w:pPr>
        <w:jc w:val="center"/>
        <w:rPr>
          <w:b/>
          <w:bCs/>
        </w:rPr>
      </w:pPr>
      <w:r w:rsidRPr="002472A5">
        <w:rPr>
          <w:b/>
          <w:bCs/>
        </w:rPr>
        <w:t>«</w:t>
      </w:r>
      <w:r w:rsidR="00600671" w:rsidRPr="002472A5">
        <w:rPr>
          <w:b/>
          <w:bCs/>
        </w:rPr>
        <w:t>П</w:t>
      </w:r>
      <w:r w:rsidR="00431E59" w:rsidRPr="002472A5">
        <w:rPr>
          <w:b/>
          <w:bCs/>
        </w:rPr>
        <w:t>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r w:rsidRPr="002472A5">
        <w:rPr>
          <w:b/>
          <w:bCs/>
        </w:rPr>
        <w:t>»</w:t>
      </w:r>
    </w:p>
    <w:p w:rsidR="0062017C" w:rsidRPr="002472A5" w:rsidRDefault="0062017C" w:rsidP="0062017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819"/>
      </w:tblGrid>
      <w:tr w:rsidR="00BD0AD6" w:rsidRPr="002472A5" w:rsidTr="00713355">
        <w:tc>
          <w:tcPr>
            <w:tcW w:w="10234" w:type="dxa"/>
            <w:gridSpan w:val="2"/>
          </w:tcPr>
          <w:p w:rsidR="00BD0AD6" w:rsidRPr="002472A5" w:rsidRDefault="00BD0AD6" w:rsidP="00713355">
            <w:pPr>
              <w:jc w:val="center"/>
              <w:rPr>
                <w:b/>
              </w:rPr>
            </w:pPr>
            <w:r w:rsidRPr="002472A5">
              <w:rPr>
                <w:b/>
              </w:rPr>
              <w:t>1. Общие сведения</w:t>
            </w:r>
          </w:p>
        </w:tc>
      </w:tr>
      <w:tr w:rsidR="00640E61" w:rsidRPr="002472A5" w:rsidTr="00E965D9">
        <w:tc>
          <w:tcPr>
            <w:tcW w:w="5415" w:type="dxa"/>
          </w:tcPr>
          <w:p w:rsidR="00640E61" w:rsidRPr="002472A5" w:rsidRDefault="00640E61" w:rsidP="00713355">
            <w:pPr>
              <w:ind w:left="85" w:right="85"/>
              <w:jc w:val="both"/>
            </w:pPr>
            <w:r w:rsidRPr="002472A5">
              <w:t>1.1. Полное фирменное наименование эмитента</w:t>
            </w:r>
          </w:p>
        </w:tc>
        <w:tc>
          <w:tcPr>
            <w:tcW w:w="4819" w:type="dxa"/>
          </w:tcPr>
          <w:p w:rsidR="00640E61" w:rsidRPr="002472A5" w:rsidRDefault="00E9355B" w:rsidP="00E965D9">
            <w:pPr>
              <w:ind w:left="57"/>
              <w:rPr>
                <w:b/>
              </w:rPr>
            </w:pPr>
            <w:r w:rsidRPr="002472A5">
              <w:rPr>
                <w:b/>
              </w:rPr>
              <w:t>Акционерное общество «АВТОБАН-Финанс»</w:t>
            </w:r>
          </w:p>
        </w:tc>
      </w:tr>
      <w:tr w:rsidR="00640E61" w:rsidRPr="002472A5" w:rsidTr="00E965D9">
        <w:tc>
          <w:tcPr>
            <w:tcW w:w="5415" w:type="dxa"/>
          </w:tcPr>
          <w:p w:rsidR="00640E61" w:rsidRPr="002472A5" w:rsidRDefault="00640E61" w:rsidP="00713355">
            <w:pPr>
              <w:ind w:left="85" w:right="85"/>
              <w:jc w:val="both"/>
            </w:pPr>
            <w:r w:rsidRPr="002472A5">
              <w:t>1.2. Сокращенное фирменное наименование эмитента</w:t>
            </w:r>
          </w:p>
        </w:tc>
        <w:tc>
          <w:tcPr>
            <w:tcW w:w="4819" w:type="dxa"/>
          </w:tcPr>
          <w:p w:rsidR="00640E61" w:rsidRPr="002472A5" w:rsidRDefault="00E9355B" w:rsidP="00407589">
            <w:pPr>
              <w:ind w:left="57"/>
              <w:rPr>
                <w:b/>
              </w:rPr>
            </w:pPr>
            <w:r w:rsidRPr="002472A5">
              <w:rPr>
                <w:b/>
              </w:rPr>
              <w:t>АО «АВТОБАН-Финанс»</w:t>
            </w:r>
          </w:p>
        </w:tc>
      </w:tr>
      <w:tr w:rsidR="00640E61" w:rsidRPr="002472A5" w:rsidTr="00E965D9">
        <w:tc>
          <w:tcPr>
            <w:tcW w:w="5415" w:type="dxa"/>
          </w:tcPr>
          <w:p w:rsidR="00640E61" w:rsidRPr="002472A5" w:rsidRDefault="00640E61" w:rsidP="00713355">
            <w:pPr>
              <w:ind w:left="85" w:right="85"/>
              <w:jc w:val="both"/>
            </w:pPr>
            <w:r w:rsidRPr="002472A5">
              <w:t>1.3. Место нахождения эмитента</w:t>
            </w:r>
          </w:p>
        </w:tc>
        <w:tc>
          <w:tcPr>
            <w:tcW w:w="4819" w:type="dxa"/>
          </w:tcPr>
          <w:p w:rsidR="00640E61" w:rsidRPr="002472A5" w:rsidRDefault="00F9529B" w:rsidP="00FA10B6">
            <w:pPr>
              <w:ind w:left="57"/>
              <w:rPr>
                <w:b/>
              </w:rPr>
            </w:pPr>
            <w:r w:rsidRPr="002472A5">
              <w:rPr>
                <w:b/>
              </w:rPr>
              <w:t>Российская Федерация, г. Москва</w:t>
            </w:r>
          </w:p>
        </w:tc>
      </w:tr>
      <w:tr w:rsidR="00640E61" w:rsidRPr="002472A5" w:rsidTr="00E965D9">
        <w:tc>
          <w:tcPr>
            <w:tcW w:w="5415" w:type="dxa"/>
          </w:tcPr>
          <w:p w:rsidR="00640E61" w:rsidRPr="002472A5" w:rsidRDefault="00640E61" w:rsidP="00713355">
            <w:pPr>
              <w:ind w:left="85" w:right="85"/>
              <w:jc w:val="both"/>
            </w:pPr>
            <w:r w:rsidRPr="002472A5">
              <w:t>1.4. ОГРН эмитента</w:t>
            </w:r>
          </w:p>
        </w:tc>
        <w:tc>
          <w:tcPr>
            <w:tcW w:w="4819" w:type="dxa"/>
          </w:tcPr>
          <w:p w:rsidR="00640E61" w:rsidRPr="002472A5" w:rsidRDefault="00E9355B" w:rsidP="00407589">
            <w:pPr>
              <w:ind w:left="57"/>
              <w:rPr>
                <w:b/>
              </w:rPr>
            </w:pPr>
            <w:r w:rsidRPr="002472A5">
              <w:rPr>
                <w:b/>
              </w:rPr>
              <w:t>1147746558596</w:t>
            </w:r>
          </w:p>
        </w:tc>
      </w:tr>
      <w:tr w:rsidR="00640E61" w:rsidRPr="002472A5" w:rsidTr="00E965D9">
        <w:tc>
          <w:tcPr>
            <w:tcW w:w="5415" w:type="dxa"/>
          </w:tcPr>
          <w:p w:rsidR="00640E61" w:rsidRPr="002472A5" w:rsidRDefault="00640E61" w:rsidP="00713355">
            <w:pPr>
              <w:ind w:left="85" w:right="85"/>
              <w:jc w:val="both"/>
            </w:pPr>
            <w:r w:rsidRPr="002472A5">
              <w:t>1.5. ИНН эмитента</w:t>
            </w:r>
          </w:p>
        </w:tc>
        <w:tc>
          <w:tcPr>
            <w:tcW w:w="4819" w:type="dxa"/>
          </w:tcPr>
          <w:p w:rsidR="00640E61" w:rsidRPr="002472A5" w:rsidRDefault="00E9355B" w:rsidP="00407589">
            <w:pPr>
              <w:ind w:left="57"/>
              <w:rPr>
                <w:b/>
              </w:rPr>
            </w:pPr>
            <w:r w:rsidRPr="002472A5">
              <w:rPr>
                <w:b/>
              </w:rPr>
              <w:t>7708813750</w:t>
            </w:r>
          </w:p>
        </w:tc>
      </w:tr>
      <w:tr w:rsidR="00640E61" w:rsidRPr="002472A5" w:rsidTr="00E965D9">
        <w:tc>
          <w:tcPr>
            <w:tcW w:w="5415" w:type="dxa"/>
          </w:tcPr>
          <w:p w:rsidR="00640E61" w:rsidRPr="002472A5" w:rsidRDefault="00640E61" w:rsidP="00713355">
            <w:pPr>
              <w:ind w:left="85" w:right="85"/>
              <w:jc w:val="both"/>
            </w:pPr>
            <w:r w:rsidRPr="002472A5">
              <w:t>1.6. Уникальный код эмитента, присвоенный регистрирующим органом</w:t>
            </w:r>
          </w:p>
        </w:tc>
        <w:tc>
          <w:tcPr>
            <w:tcW w:w="4819" w:type="dxa"/>
          </w:tcPr>
          <w:p w:rsidR="00640E61" w:rsidRPr="002472A5" w:rsidRDefault="00E9355B" w:rsidP="00407589">
            <w:pPr>
              <w:ind w:left="57"/>
              <w:rPr>
                <w:b/>
              </w:rPr>
            </w:pPr>
            <w:r w:rsidRPr="002472A5">
              <w:rPr>
                <w:b/>
              </w:rPr>
              <w:t>82416-Н</w:t>
            </w:r>
          </w:p>
        </w:tc>
      </w:tr>
      <w:tr w:rsidR="00640E61" w:rsidRPr="002472A5" w:rsidTr="00E965D9">
        <w:tc>
          <w:tcPr>
            <w:tcW w:w="5415" w:type="dxa"/>
          </w:tcPr>
          <w:p w:rsidR="00640E61" w:rsidRPr="002472A5" w:rsidRDefault="00640E61" w:rsidP="00713355">
            <w:pPr>
              <w:ind w:left="85" w:right="85"/>
              <w:jc w:val="both"/>
            </w:pPr>
            <w:r w:rsidRPr="002472A5">
              <w:t>1.7. Адрес страницы в сети Интернет, используемой эмитентом для раскрытия информации</w:t>
            </w:r>
          </w:p>
        </w:tc>
        <w:tc>
          <w:tcPr>
            <w:tcW w:w="4819" w:type="dxa"/>
          </w:tcPr>
          <w:p w:rsidR="00407589" w:rsidRPr="002472A5" w:rsidRDefault="004916D5" w:rsidP="00B61D26">
            <w:pPr>
              <w:ind w:left="57"/>
              <w:rPr>
                <w:b/>
              </w:rPr>
            </w:pPr>
            <w:hyperlink r:id="rId6" w:history="1">
              <w:r w:rsidR="00B61D26" w:rsidRPr="002472A5">
                <w:rPr>
                  <w:rStyle w:val="a3"/>
                  <w:b/>
                </w:rPr>
                <w:t>http://www.e-disclosure.ru/portal/company.aspx?id=35670</w:t>
              </w:r>
            </w:hyperlink>
          </w:p>
        </w:tc>
      </w:tr>
      <w:tr w:rsidR="007C328F" w:rsidRPr="002472A5" w:rsidTr="00E965D9">
        <w:tc>
          <w:tcPr>
            <w:tcW w:w="5415" w:type="dxa"/>
          </w:tcPr>
          <w:p w:rsidR="007C328F" w:rsidRPr="002472A5" w:rsidRDefault="007C328F" w:rsidP="00EF2F5D">
            <w:pPr>
              <w:adjustRightInd w:val="0"/>
              <w:jc w:val="both"/>
              <w:rPr>
                <w:rFonts w:eastAsiaTheme="minorHAnsi"/>
                <w:lang w:eastAsia="en-US"/>
              </w:rPr>
            </w:pPr>
            <w:r w:rsidRPr="002472A5">
              <w:rPr>
                <w:rFonts w:eastAsiaTheme="minorHAnsi"/>
                <w:lang w:eastAsia="en-US"/>
              </w:rPr>
              <w:t xml:space="preserve">1.8. Дата наступления события (существенного факта), о котором составлено сообщение </w:t>
            </w:r>
          </w:p>
        </w:tc>
        <w:tc>
          <w:tcPr>
            <w:tcW w:w="4819" w:type="dxa"/>
          </w:tcPr>
          <w:p w:rsidR="007C328F" w:rsidRPr="002472A5" w:rsidRDefault="00431E59" w:rsidP="00020744">
            <w:pPr>
              <w:ind w:left="57"/>
              <w:rPr>
                <w:rStyle w:val="a3"/>
                <w:b/>
                <w:color w:val="auto"/>
                <w:u w:val="none"/>
              </w:rPr>
            </w:pPr>
            <w:r w:rsidRPr="002472A5">
              <w:rPr>
                <w:rStyle w:val="a3"/>
                <w:b/>
                <w:color w:val="auto"/>
                <w:u w:val="none"/>
              </w:rPr>
              <w:t>2</w:t>
            </w:r>
            <w:r w:rsidR="00020744" w:rsidRPr="002472A5">
              <w:rPr>
                <w:rStyle w:val="a3"/>
                <w:b/>
                <w:color w:val="auto"/>
                <w:u w:val="none"/>
              </w:rPr>
              <w:t>1</w:t>
            </w:r>
            <w:r w:rsidR="007253A5" w:rsidRPr="002472A5">
              <w:rPr>
                <w:rStyle w:val="a3"/>
                <w:b/>
                <w:color w:val="auto"/>
                <w:u w:val="none"/>
              </w:rPr>
              <w:t>.</w:t>
            </w:r>
            <w:r w:rsidR="0086235F" w:rsidRPr="002472A5">
              <w:rPr>
                <w:rStyle w:val="a3"/>
                <w:b/>
                <w:color w:val="auto"/>
                <w:u w:val="none"/>
                <w:lang w:val="en-US"/>
              </w:rPr>
              <w:t>1</w:t>
            </w:r>
            <w:r w:rsidR="00055C65" w:rsidRPr="002472A5">
              <w:rPr>
                <w:rStyle w:val="a3"/>
                <w:b/>
                <w:color w:val="auto"/>
                <w:u w:val="none"/>
              </w:rPr>
              <w:t>2</w:t>
            </w:r>
            <w:r w:rsidR="00EF2F5D" w:rsidRPr="002472A5">
              <w:rPr>
                <w:rStyle w:val="a3"/>
                <w:b/>
                <w:color w:val="auto"/>
                <w:u w:val="none"/>
              </w:rPr>
              <w:t>.20</w:t>
            </w:r>
            <w:r w:rsidRPr="002472A5">
              <w:rPr>
                <w:rStyle w:val="a3"/>
                <w:b/>
                <w:color w:val="auto"/>
                <w:u w:val="none"/>
              </w:rPr>
              <w:t>2</w:t>
            </w:r>
            <w:r w:rsidR="00020744" w:rsidRPr="002472A5">
              <w:rPr>
                <w:rStyle w:val="a3"/>
                <w:b/>
                <w:color w:val="auto"/>
                <w:u w:val="none"/>
              </w:rPr>
              <w:t>2</w:t>
            </w:r>
          </w:p>
        </w:tc>
      </w:tr>
    </w:tbl>
    <w:p w:rsidR="00BD0AD6" w:rsidRPr="002472A5" w:rsidRDefault="00BD0AD6" w:rsidP="00BD0AD6"/>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6"/>
      </w:tblGrid>
      <w:tr w:rsidR="00BD0AD6" w:rsidRPr="002472A5" w:rsidTr="00773BA2">
        <w:tc>
          <w:tcPr>
            <w:tcW w:w="10206" w:type="dxa"/>
          </w:tcPr>
          <w:p w:rsidR="00E05643" w:rsidRPr="002472A5" w:rsidRDefault="00BD0AD6" w:rsidP="00DF5556">
            <w:pPr>
              <w:jc w:val="center"/>
              <w:rPr>
                <w:b/>
              </w:rPr>
            </w:pPr>
            <w:r w:rsidRPr="002472A5">
              <w:rPr>
                <w:b/>
              </w:rPr>
              <w:t>2. Содержание сообщения</w:t>
            </w:r>
          </w:p>
          <w:p w:rsidR="00020744" w:rsidRPr="002472A5" w:rsidRDefault="00BF3AF2" w:rsidP="00020744">
            <w:pPr>
              <w:pStyle w:val="4"/>
              <w:shd w:val="clear" w:color="auto" w:fill="FFFFFF"/>
              <w:rPr>
                <w:rFonts w:ascii="Times New Roman" w:hAnsi="Times New Roman" w:cs="Times New Roman"/>
                <w:color w:val="000000"/>
                <w:shd w:val="clear" w:color="auto" w:fill="FFFF80"/>
              </w:rPr>
            </w:pPr>
            <w:r w:rsidRPr="002472A5">
              <w:rPr>
                <w:rFonts w:ascii="Times New Roman" w:hAnsi="Times New Roman" w:cs="Times New Roman"/>
                <w:color w:val="auto"/>
              </w:rPr>
              <w:t xml:space="preserve">         </w:t>
            </w:r>
            <w:r w:rsidR="00020744" w:rsidRPr="002472A5">
              <w:rPr>
                <w:rFonts w:ascii="Times New Roman" w:hAnsi="Times New Roman" w:cs="Times New Roman"/>
                <w:color w:val="000000"/>
                <w:shd w:val="clear" w:color="auto" w:fill="FFFF80"/>
              </w:rPr>
              <w:t>О присвоении рейтинга ценным бумагам и (или) их эмитенту, а также об изменении рейтинга кредитным</w:t>
            </w:r>
          </w:p>
          <w:p w:rsidR="00020744" w:rsidRPr="002472A5" w:rsidRDefault="00020744" w:rsidP="00020744">
            <w:pPr>
              <w:keepNext/>
              <w:keepLines/>
              <w:shd w:val="clear" w:color="auto" w:fill="FFFFFF"/>
              <w:spacing w:before="200"/>
              <w:outlineLvl w:val="3"/>
              <w:rPr>
                <w:rFonts w:eastAsiaTheme="majorEastAsia"/>
                <w:b/>
                <w:bCs/>
                <w:i/>
                <w:iCs/>
                <w:color w:val="000000"/>
                <w:shd w:val="clear" w:color="auto" w:fill="FFFF80"/>
              </w:rPr>
            </w:pPr>
            <w:r w:rsidRPr="002472A5">
              <w:rPr>
                <w:rFonts w:eastAsiaTheme="majorEastAsia"/>
                <w:b/>
                <w:bCs/>
                <w:i/>
                <w:iCs/>
                <w:color w:val="000000"/>
                <w:shd w:val="clear" w:color="auto" w:fill="FFFF80"/>
              </w:rPr>
              <w:t>рейтинговым агентством или иной организацией на основании заключенного с эмитентом договора.</w:t>
            </w:r>
          </w:p>
          <w:p w:rsidR="008126C9" w:rsidRPr="002472A5" w:rsidRDefault="008126C9" w:rsidP="00BF3AF2">
            <w:pPr>
              <w:pStyle w:val="4"/>
              <w:shd w:val="clear" w:color="auto" w:fill="FFFFFF"/>
              <w:spacing w:before="0"/>
              <w:rPr>
                <w:rFonts w:ascii="Times New Roman" w:hAnsi="Times New Roman" w:cs="Times New Roman"/>
              </w:rPr>
            </w:pPr>
          </w:p>
          <w:p w:rsidR="00431E59" w:rsidRPr="002472A5" w:rsidRDefault="00431E59" w:rsidP="00431E59"/>
        </w:tc>
      </w:tr>
      <w:tr w:rsidR="00BD0AD6" w:rsidRPr="002472A5" w:rsidTr="00934981">
        <w:trPr>
          <w:trHeight w:val="3490"/>
        </w:trPr>
        <w:tc>
          <w:tcPr>
            <w:tcW w:w="10206" w:type="dxa"/>
          </w:tcPr>
          <w:p w:rsidR="008126C9" w:rsidRPr="002472A5" w:rsidRDefault="00D80CC2" w:rsidP="002472A5">
            <w:pPr>
              <w:adjustRightInd w:val="0"/>
              <w:spacing w:before="60"/>
              <w:ind w:right="113"/>
              <w:jc w:val="both"/>
            </w:pPr>
            <w:r w:rsidRPr="002472A5">
              <w:t xml:space="preserve">2.1. </w:t>
            </w:r>
            <w:r w:rsidR="00431E59" w:rsidRPr="002472A5">
              <w:t>Объект рейтинга</w:t>
            </w:r>
            <w:r w:rsidR="00A85B30" w:rsidRPr="002472A5">
              <w:t xml:space="preserve"> </w:t>
            </w:r>
            <w:r w:rsidR="00EC28C3" w:rsidRPr="002472A5">
              <w:rPr>
                <w:rFonts w:eastAsiaTheme="minorHAnsi"/>
                <w:b/>
                <w:bCs/>
                <w:lang w:eastAsia="en-US"/>
              </w:rPr>
              <w:t>(ценные бумаги и (или) их эмитент)</w:t>
            </w:r>
            <w:r w:rsidR="00431E59" w:rsidRPr="002472A5">
              <w:t xml:space="preserve">: </w:t>
            </w:r>
            <w:r w:rsidR="00EC28C3" w:rsidRPr="002472A5">
              <w:rPr>
                <w:b/>
              </w:rPr>
              <w:t>Э</w:t>
            </w:r>
            <w:r w:rsidR="0003094B" w:rsidRPr="002472A5">
              <w:rPr>
                <w:b/>
              </w:rPr>
              <w:t>митент</w:t>
            </w:r>
            <w:r w:rsidR="00EC28C3" w:rsidRPr="002472A5">
              <w:rPr>
                <w:b/>
              </w:rPr>
              <w:t>- Акционерное общество «АВТОБАН-</w:t>
            </w:r>
            <w:proofErr w:type="spellStart"/>
            <w:r w:rsidR="00EC28C3" w:rsidRPr="002472A5">
              <w:rPr>
                <w:b/>
              </w:rPr>
              <w:t>Финанс</w:t>
            </w:r>
            <w:proofErr w:type="spellEnd"/>
            <w:r w:rsidR="00EC28C3" w:rsidRPr="002472A5">
              <w:rPr>
                <w:b/>
              </w:rPr>
              <w:t>»</w:t>
            </w:r>
            <w:r w:rsidR="00431E59" w:rsidRPr="002472A5">
              <w:t>.</w:t>
            </w:r>
          </w:p>
          <w:p w:rsidR="00431E59" w:rsidRPr="002472A5" w:rsidRDefault="008126C9" w:rsidP="002472A5">
            <w:pPr>
              <w:pStyle w:val="ConsPlusNormal"/>
              <w:spacing w:before="60"/>
              <w:ind w:right="113"/>
              <w:jc w:val="both"/>
              <w:rPr>
                <w:rFonts w:ascii="Times New Roman" w:hAnsi="Times New Roman" w:cs="Times New Roman"/>
              </w:rPr>
            </w:pPr>
            <w:r w:rsidRPr="002472A5">
              <w:rPr>
                <w:rFonts w:ascii="Times New Roman" w:hAnsi="Times New Roman" w:cs="Times New Roman"/>
                <w:b w:val="0"/>
              </w:rPr>
              <w:t>2.</w:t>
            </w:r>
            <w:proofErr w:type="gramStart"/>
            <w:r w:rsidRPr="002472A5">
              <w:rPr>
                <w:rFonts w:ascii="Times New Roman" w:hAnsi="Times New Roman" w:cs="Times New Roman"/>
                <w:b w:val="0"/>
              </w:rPr>
              <w:t>2.</w:t>
            </w:r>
            <w:r w:rsidR="00431E59" w:rsidRPr="002472A5">
              <w:rPr>
                <w:rFonts w:ascii="Times New Roman" w:hAnsi="Times New Roman" w:cs="Times New Roman"/>
                <w:b w:val="0"/>
              </w:rPr>
              <w:t>Вид</w:t>
            </w:r>
            <w:proofErr w:type="gramEnd"/>
            <w:r w:rsidR="00431E59" w:rsidRPr="002472A5">
              <w:rPr>
                <w:rFonts w:ascii="Times New Roman" w:hAnsi="Times New Roman" w:cs="Times New Roman"/>
                <w:b w:val="0"/>
              </w:rPr>
              <w:t xml:space="preserve">, </w:t>
            </w:r>
            <w:r w:rsidR="005B2C7B" w:rsidRPr="002472A5">
              <w:rPr>
                <w:rFonts w:ascii="Times New Roman" w:hAnsi="Times New Roman" w:cs="Times New Roman"/>
                <w:b w:val="0"/>
              </w:rPr>
              <w:t>рейтинга</w:t>
            </w:r>
            <w:r w:rsidR="00431E59" w:rsidRPr="002472A5">
              <w:rPr>
                <w:rFonts w:ascii="Times New Roman" w:hAnsi="Times New Roman" w:cs="Times New Roman"/>
                <w:b w:val="0"/>
              </w:rPr>
              <w:t>,</w:t>
            </w:r>
            <w:r w:rsidR="005B2C7B" w:rsidRPr="002472A5">
              <w:rPr>
                <w:rFonts w:ascii="Times New Roman" w:hAnsi="Times New Roman" w:cs="Times New Roman"/>
                <w:b w:val="0"/>
              </w:rPr>
              <w:t xml:space="preserve"> который присвоен объекту рейтинговой оценки</w:t>
            </w:r>
            <w:r w:rsidR="006E198C" w:rsidRPr="002472A5">
              <w:rPr>
                <w:rFonts w:ascii="Times New Roman" w:hAnsi="Times New Roman" w:cs="Times New Roman"/>
                <w:b w:val="0"/>
              </w:rPr>
              <w:t xml:space="preserve"> </w:t>
            </w:r>
            <w:r w:rsidR="00EC28C3" w:rsidRPr="002472A5">
              <w:rPr>
                <w:rFonts w:ascii="Times New Roman" w:hAnsi="Times New Roman" w:cs="Times New Roman"/>
              </w:rPr>
              <w:t>(кредитный рейтинг; иной рейтинг)</w:t>
            </w:r>
            <w:r w:rsidR="005B2C7B" w:rsidRPr="002472A5">
              <w:rPr>
                <w:rFonts w:ascii="Times New Roman" w:hAnsi="Times New Roman" w:cs="Times New Roman"/>
                <w:b w:val="0"/>
              </w:rPr>
              <w:t xml:space="preserve">: </w:t>
            </w:r>
            <w:r w:rsidR="005B2C7B" w:rsidRPr="002472A5">
              <w:rPr>
                <w:rFonts w:ascii="Times New Roman" w:hAnsi="Times New Roman" w:cs="Times New Roman"/>
              </w:rPr>
              <w:t xml:space="preserve">Рейтинг кредитоспособности финансовой компании. </w:t>
            </w:r>
          </w:p>
          <w:p w:rsidR="00431E59" w:rsidRPr="002472A5" w:rsidRDefault="008126C9" w:rsidP="00934981">
            <w:pPr>
              <w:pStyle w:val="ConsPlusNormal"/>
              <w:spacing w:before="60"/>
              <w:ind w:right="113"/>
              <w:jc w:val="both"/>
              <w:rPr>
                <w:rFonts w:ascii="Times New Roman" w:hAnsi="Times New Roman" w:cs="Times New Roman"/>
              </w:rPr>
            </w:pPr>
            <w:r w:rsidRPr="002472A5">
              <w:rPr>
                <w:rFonts w:ascii="Times New Roman" w:hAnsi="Times New Roman" w:cs="Times New Roman"/>
                <w:b w:val="0"/>
              </w:rPr>
              <w:t>2.</w:t>
            </w:r>
            <w:r w:rsidR="00D80CC2" w:rsidRPr="002472A5">
              <w:rPr>
                <w:rFonts w:ascii="Times New Roman" w:hAnsi="Times New Roman" w:cs="Times New Roman"/>
                <w:b w:val="0"/>
              </w:rPr>
              <w:t>3</w:t>
            </w:r>
            <w:r w:rsidRPr="002472A5">
              <w:rPr>
                <w:rFonts w:ascii="Times New Roman" w:hAnsi="Times New Roman" w:cs="Times New Roman"/>
                <w:b w:val="0"/>
              </w:rPr>
              <w:t xml:space="preserve">. </w:t>
            </w:r>
            <w:r w:rsidR="00780539" w:rsidRPr="002472A5">
              <w:rPr>
                <w:rFonts w:ascii="Times New Roman" w:hAnsi="Times New Roman" w:cs="Times New Roman"/>
                <w:b w:val="0"/>
              </w:rPr>
              <w:t>В случае если объектом рейтинга являются ценные бумаги эмитента -вид, категория (тип</w:t>
            </w:r>
            <w:proofErr w:type="gramStart"/>
            <w:r w:rsidR="00780539" w:rsidRPr="002472A5">
              <w:rPr>
                <w:rFonts w:ascii="Times New Roman" w:hAnsi="Times New Roman" w:cs="Times New Roman"/>
                <w:b w:val="0"/>
              </w:rPr>
              <w:t>),серия</w:t>
            </w:r>
            <w:proofErr w:type="gramEnd"/>
            <w:r w:rsidR="00780539" w:rsidRPr="002472A5">
              <w:rPr>
                <w:rFonts w:ascii="Times New Roman" w:hAnsi="Times New Roman" w:cs="Times New Roman"/>
                <w:b w:val="0"/>
              </w:rPr>
              <w:t xml:space="preserve"> (при наличии) и иные идентификационные признаки ценных бумаг, указанные в решении о выпуске ценных бумаг, а также регистрационный номер выпуска (дополнительного выпуска) ценных бумаг и дата его регистрации:</w:t>
            </w:r>
            <w:r w:rsidR="00F03C78" w:rsidRPr="002472A5">
              <w:rPr>
                <w:rFonts w:ascii="Times New Roman" w:hAnsi="Times New Roman" w:cs="Times New Roman"/>
                <w:b w:val="0"/>
              </w:rPr>
              <w:t xml:space="preserve"> </w:t>
            </w:r>
            <w:r w:rsidR="00F03C78" w:rsidRPr="002472A5">
              <w:rPr>
                <w:rFonts w:ascii="Times New Roman" w:hAnsi="Times New Roman" w:cs="Times New Roman"/>
              </w:rPr>
              <w:t>не применимо</w:t>
            </w:r>
            <w:r w:rsidR="005B2C7B" w:rsidRPr="002472A5">
              <w:rPr>
                <w:rFonts w:ascii="Times New Roman" w:hAnsi="Times New Roman" w:cs="Times New Roman"/>
              </w:rPr>
              <w:t>.</w:t>
            </w:r>
          </w:p>
          <w:p w:rsidR="00985AEB" w:rsidRPr="002472A5" w:rsidRDefault="00985AEB" w:rsidP="00985AEB">
            <w:pPr>
              <w:adjustRightInd w:val="0"/>
              <w:jc w:val="both"/>
              <w:rPr>
                <w:rFonts w:eastAsiaTheme="minorHAnsi"/>
                <w:b/>
                <w:bCs/>
                <w:i/>
                <w:iCs/>
                <w:lang w:eastAsia="en-US"/>
              </w:rPr>
            </w:pPr>
            <w:r w:rsidRPr="002472A5">
              <w:t>2.4</w:t>
            </w:r>
            <w:r w:rsidRPr="002472A5">
              <w:rPr>
                <w:b/>
              </w:rPr>
              <w:t xml:space="preserve">. </w:t>
            </w:r>
            <w:r w:rsidRPr="002472A5">
              <w:rPr>
                <w:rFonts w:eastAsiaTheme="minorHAnsi"/>
                <w:bCs/>
                <w:lang w:eastAsia="en-US"/>
              </w:rPr>
              <w:t xml:space="preserve">Значение присвоенного рейтинга, а в случае изменения рейтинга - значения рейтинга до и после изменения: </w:t>
            </w:r>
            <w:r w:rsidR="00992DA8" w:rsidRPr="002472A5">
              <w:t xml:space="preserve">Значение рейтинга до изменения – </w:t>
            </w:r>
            <w:proofErr w:type="spellStart"/>
            <w:r w:rsidR="00992DA8" w:rsidRPr="002472A5">
              <w:t>ruА</w:t>
            </w:r>
            <w:proofErr w:type="spellEnd"/>
            <w:r w:rsidR="00992DA8" w:rsidRPr="002472A5">
              <w:t>, прогноз по рейтингу «стабильный». Значение рейтинга после изменения – ruA, прогноз по рейтингу – «стабильный». Пересмотр рейтинга по окончании срока действия.</w:t>
            </w:r>
          </w:p>
          <w:p w:rsidR="00217D65" w:rsidRPr="002472A5" w:rsidRDefault="00217D65" w:rsidP="00934981">
            <w:pPr>
              <w:pStyle w:val="ConsPlusNormal"/>
              <w:spacing w:before="60"/>
              <w:ind w:right="113"/>
              <w:jc w:val="both"/>
              <w:rPr>
                <w:rFonts w:ascii="Times New Roman" w:hAnsi="Times New Roman" w:cs="Times New Roman"/>
                <w:b w:val="0"/>
              </w:rPr>
            </w:pPr>
            <w:r w:rsidRPr="002472A5">
              <w:rPr>
                <w:rFonts w:ascii="Times New Roman" w:hAnsi="Times New Roman" w:cs="Times New Roman"/>
                <w:b w:val="0"/>
              </w:rPr>
              <w:t>2.</w:t>
            </w:r>
            <w:r w:rsidR="00985AEB" w:rsidRPr="002472A5">
              <w:rPr>
                <w:rFonts w:ascii="Times New Roman" w:hAnsi="Times New Roman" w:cs="Times New Roman"/>
                <w:b w:val="0"/>
              </w:rPr>
              <w:t>5</w:t>
            </w:r>
            <w:r w:rsidRPr="002472A5">
              <w:rPr>
                <w:rFonts w:ascii="Times New Roman" w:hAnsi="Times New Roman" w:cs="Times New Roman"/>
                <w:b w:val="0"/>
              </w:rPr>
              <w:t xml:space="preserve">. </w:t>
            </w:r>
            <w:r w:rsidR="00600671" w:rsidRPr="002472A5">
              <w:rPr>
                <w:rFonts w:ascii="Times New Roman" w:hAnsi="Times New Roman" w:cs="Times New Roman"/>
                <w:b w:val="0"/>
              </w:rPr>
              <w:t xml:space="preserve">Дата присвоения или изменения рейтинга: </w:t>
            </w:r>
            <w:r w:rsidR="00600671" w:rsidRPr="002472A5">
              <w:rPr>
                <w:rFonts w:ascii="Times New Roman" w:hAnsi="Times New Roman" w:cs="Times New Roman"/>
              </w:rPr>
              <w:t>2</w:t>
            </w:r>
            <w:r w:rsidR="00780539" w:rsidRPr="002472A5">
              <w:rPr>
                <w:rFonts w:ascii="Times New Roman" w:hAnsi="Times New Roman" w:cs="Times New Roman"/>
              </w:rPr>
              <w:t>1</w:t>
            </w:r>
            <w:r w:rsidR="00600671" w:rsidRPr="002472A5">
              <w:rPr>
                <w:rFonts w:ascii="Times New Roman" w:hAnsi="Times New Roman" w:cs="Times New Roman"/>
              </w:rPr>
              <w:t>.12.20</w:t>
            </w:r>
            <w:r w:rsidR="001D5DC1" w:rsidRPr="002472A5">
              <w:rPr>
                <w:rFonts w:ascii="Times New Roman" w:hAnsi="Times New Roman" w:cs="Times New Roman"/>
              </w:rPr>
              <w:t>2</w:t>
            </w:r>
            <w:r w:rsidR="00780539" w:rsidRPr="002472A5">
              <w:rPr>
                <w:rFonts w:ascii="Times New Roman" w:hAnsi="Times New Roman" w:cs="Times New Roman"/>
              </w:rPr>
              <w:t>2</w:t>
            </w:r>
            <w:r w:rsidR="001D5DC1" w:rsidRPr="002472A5">
              <w:rPr>
                <w:rFonts w:ascii="Times New Roman" w:hAnsi="Times New Roman" w:cs="Times New Roman"/>
              </w:rPr>
              <w:t>.</w:t>
            </w:r>
          </w:p>
          <w:p w:rsidR="00934981" w:rsidRPr="002472A5" w:rsidRDefault="00217D65" w:rsidP="002472A5">
            <w:pPr>
              <w:pStyle w:val="ConsPlusNormal"/>
              <w:spacing w:before="60"/>
              <w:ind w:right="113"/>
              <w:jc w:val="both"/>
              <w:rPr>
                <w:rFonts w:ascii="Times New Roman" w:hAnsi="Times New Roman" w:cs="Times New Roman"/>
              </w:rPr>
            </w:pPr>
            <w:r w:rsidRPr="002472A5">
              <w:rPr>
                <w:rFonts w:ascii="Times New Roman" w:hAnsi="Times New Roman" w:cs="Times New Roman"/>
                <w:b w:val="0"/>
              </w:rPr>
              <w:t>2.</w:t>
            </w:r>
            <w:r w:rsidR="00985AEB" w:rsidRPr="002472A5">
              <w:rPr>
                <w:rFonts w:ascii="Times New Roman" w:hAnsi="Times New Roman" w:cs="Times New Roman"/>
                <w:b w:val="0"/>
              </w:rPr>
              <w:t>6</w:t>
            </w:r>
            <w:r w:rsidRPr="002472A5">
              <w:rPr>
                <w:rFonts w:ascii="Times New Roman" w:hAnsi="Times New Roman" w:cs="Times New Roman"/>
                <w:b w:val="0"/>
              </w:rPr>
              <w:t xml:space="preserve">. </w:t>
            </w:r>
            <w:r w:rsidR="00780539" w:rsidRPr="002472A5">
              <w:rPr>
                <w:rFonts w:ascii="Times New Roman" w:hAnsi="Times New Roman" w:cs="Times New Roman"/>
                <w:b w:val="0"/>
              </w:rPr>
              <w:t>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w:t>
            </w:r>
            <w:r w:rsidR="00431E59" w:rsidRPr="002472A5">
              <w:rPr>
                <w:rFonts w:ascii="Times New Roman" w:hAnsi="Times New Roman" w:cs="Times New Roman"/>
                <w:b w:val="0"/>
              </w:rPr>
              <w:t xml:space="preserve">: </w:t>
            </w:r>
            <w:r w:rsidR="00600671" w:rsidRPr="002472A5">
              <w:rPr>
                <w:rFonts w:ascii="Times New Roman" w:hAnsi="Times New Roman" w:cs="Times New Roman"/>
              </w:rPr>
              <w:t>http://raexpert.ru/ratings/bankcredit/method</w:t>
            </w:r>
          </w:p>
          <w:p w:rsidR="00600671" w:rsidRPr="002472A5" w:rsidRDefault="00217D65" w:rsidP="002472A5">
            <w:pPr>
              <w:adjustRightInd w:val="0"/>
              <w:jc w:val="both"/>
            </w:pPr>
            <w:r w:rsidRPr="002472A5">
              <w:lastRenderedPageBreak/>
              <w:t>2.</w:t>
            </w:r>
            <w:r w:rsidR="00985AEB" w:rsidRPr="002472A5">
              <w:t>7</w:t>
            </w:r>
            <w:r w:rsidRPr="002472A5">
              <w:rPr>
                <w:b/>
              </w:rPr>
              <w:t>.</w:t>
            </w:r>
            <w:r w:rsidR="004D4A9C" w:rsidRPr="002472A5">
              <w:rPr>
                <w:rFonts w:eastAsiaTheme="minorHAnsi"/>
                <w:lang w:eastAsia="en-US"/>
              </w:rPr>
              <w:t xml:space="preserve">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w:t>
            </w:r>
            <w:r w:rsidR="00431E59" w:rsidRPr="002472A5">
              <w:rPr>
                <w:b/>
              </w:rPr>
              <w:t xml:space="preserve">: </w:t>
            </w:r>
          </w:p>
          <w:p w:rsidR="00600671" w:rsidRPr="002472A5" w:rsidRDefault="00431E59" w:rsidP="00600671">
            <w:pPr>
              <w:pStyle w:val="ConsPlusNormal"/>
              <w:spacing w:before="60"/>
              <w:ind w:left="114" w:right="113"/>
              <w:jc w:val="both"/>
              <w:rPr>
                <w:rFonts w:ascii="Times New Roman" w:hAnsi="Times New Roman" w:cs="Times New Roman"/>
              </w:rPr>
            </w:pPr>
            <w:r w:rsidRPr="002472A5">
              <w:rPr>
                <w:rFonts w:ascii="Times New Roman" w:hAnsi="Times New Roman" w:cs="Times New Roman"/>
                <w:b w:val="0"/>
              </w:rPr>
              <w:t xml:space="preserve"> </w:t>
            </w:r>
            <w:r w:rsidR="00600671" w:rsidRPr="002472A5">
              <w:rPr>
                <w:rFonts w:ascii="Times New Roman" w:hAnsi="Times New Roman" w:cs="Times New Roman"/>
              </w:rPr>
              <w:t>Полное фирменное наименование: Акционерное общество «Рейтинговое Агентство «Эксперт РА». Сокращенное наименование: АО «Эксперт РА».</w:t>
            </w:r>
          </w:p>
          <w:p w:rsidR="00600671" w:rsidRPr="002472A5" w:rsidRDefault="00600671" w:rsidP="00600671">
            <w:pPr>
              <w:pStyle w:val="ConsPlusNormal"/>
              <w:spacing w:before="60"/>
              <w:ind w:left="114" w:right="113"/>
              <w:jc w:val="both"/>
              <w:rPr>
                <w:rFonts w:ascii="Times New Roman" w:hAnsi="Times New Roman" w:cs="Times New Roman"/>
              </w:rPr>
            </w:pPr>
            <w:r w:rsidRPr="002472A5">
              <w:rPr>
                <w:rFonts w:ascii="Times New Roman" w:hAnsi="Times New Roman" w:cs="Times New Roman"/>
              </w:rPr>
              <w:t>Место нахождения организации:</w:t>
            </w:r>
          </w:p>
          <w:p w:rsidR="00600671" w:rsidRPr="002472A5" w:rsidRDefault="00600671" w:rsidP="00600671">
            <w:pPr>
              <w:pStyle w:val="ConsPlusNormal"/>
              <w:spacing w:before="60"/>
              <w:ind w:left="114" w:right="113"/>
              <w:jc w:val="both"/>
              <w:rPr>
                <w:rFonts w:ascii="Times New Roman" w:hAnsi="Times New Roman" w:cs="Times New Roman"/>
              </w:rPr>
            </w:pPr>
            <w:r w:rsidRPr="002472A5">
              <w:rPr>
                <w:rFonts w:ascii="Times New Roman" w:hAnsi="Times New Roman" w:cs="Times New Roman"/>
              </w:rPr>
              <w:t xml:space="preserve">-юридический адрес: 109240, г. Москва, ул. </w:t>
            </w:r>
            <w:proofErr w:type="spellStart"/>
            <w:r w:rsidRPr="002472A5">
              <w:rPr>
                <w:rFonts w:ascii="Times New Roman" w:hAnsi="Times New Roman" w:cs="Times New Roman"/>
              </w:rPr>
              <w:t>Николоямская</w:t>
            </w:r>
            <w:proofErr w:type="spellEnd"/>
            <w:r w:rsidRPr="002472A5">
              <w:rPr>
                <w:rFonts w:ascii="Times New Roman" w:hAnsi="Times New Roman" w:cs="Times New Roman"/>
              </w:rPr>
              <w:t>, дом 13, стр. 2</w:t>
            </w:r>
          </w:p>
          <w:p w:rsidR="00600671" w:rsidRPr="002472A5" w:rsidRDefault="00600671" w:rsidP="00600671">
            <w:pPr>
              <w:pStyle w:val="ConsPlusNormal"/>
              <w:spacing w:before="60"/>
              <w:ind w:left="114" w:right="113"/>
              <w:jc w:val="both"/>
              <w:rPr>
                <w:rFonts w:ascii="Times New Roman" w:hAnsi="Times New Roman" w:cs="Times New Roman"/>
              </w:rPr>
            </w:pPr>
            <w:r w:rsidRPr="002472A5">
              <w:rPr>
                <w:rFonts w:ascii="Times New Roman" w:hAnsi="Times New Roman" w:cs="Times New Roman"/>
              </w:rPr>
              <w:t xml:space="preserve">-фактический (почтовый) адрес: 109240, г. Москва, ул. </w:t>
            </w:r>
            <w:proofErr w:type="spellStart"/>
            <w:r w:rsidRPr="002472A5">
              <w:rPr>
                <w:rFonts w:ascii="Times New Roman" w:hAnsi="Times New Roman" w:cs="Times New Roman"/>
              </w:rPr>
              <w:t>Николоямская</w:t>
            </w:r>
            <w:proofErr w:type="spellEnd"/>
            <w:r w:rsidRPr="002472A5">
              <w:rPr>
                <w:rFonts w:ascii="Times New Roman" w:hAnsi="Times New Roman" w:cs="Times New Roman"/>
              </w:rPr>
              <w:t>, дом 13, стр. 2</w:t>
            </w:r>
          </w:p>
          <w:p w:rsidR="00600671" w:rsidRPr="002472A5" w:rsidRDefault="00600671" w:rsidP="00600671">
            <w:pPr>
              <w:pStyle w:val="ConsPlusNormal"/>
              <w:spacing w:before="60"/>
              <w:ind w:left="114" w:right="113"/>
              <w:jc w:val="both"/>
              <w:rPr>
                <w:rFonts w:ascii="Times New Roman" w:hAnsi="Times New Roman" w:cs="Times New Roman"/>
              </w:rPr>
            </w:pPr>
            <w:r w:rsidRPr="002472A5">
              <w:rPr>
                <w:rFonts w:ascii="Times New Roman" w:hAnsi="Times New Roman" w:cs="Times New Roman"/>
              </w:rPr>
              <w:t>ИНН 7710248947</w:t>
            </w:r>
          </w:p>
          <w:p w:rsidR="00217D65" w:rsidRPr="002472A5" w:rsidRDefault="00600671" w:rsidP="00600671">
            <w:pPr>
              <w:pStyle w:val="ConsPlusNormal"/>
              <w:spacing w:before="60"/>
              <w:ind w:left="114" w:right="113"/>
              <w:jc w:val="both"/>
              <w:rPr>
                <w:rFonts w:ascii="Times New Roman" w:hAnsi="Times New Roman" w:cs="Times New Roman"/>
              </w:rPr>
            </w:pPr>
            <w:r w:rsidRPr="002472A5">
              <w:rPr>
                <w:rFonts w:ascii="Times New Roman" w:hAnsi="Times New Roman" w:cs="Times New Roman"/>
              </w:rPr>
              <w:t>ОГРН 1037700071628</w:t>
            </w:r>
            <w:r w:rsidR="00431E59" w:rsidRPr="002472A5">
              <w:rPr>
                <w:rFonts w:ascii="Times New Roman" w:hAnsi="Times New Roman" w:cs="Times New Roman"/>
              </w:rPr>
              <w:t xml:space="preserve">        </w:t>
            </w:r>
          </w:p>
          <w:p w:rsidR="00CF00BE" w:rsidRPr="002472A5" w:rsidRDefault="00217D65" w:rsidP="00985AEB">
            <w:pPr>
              <w:spacing w:before="60" w:after="60"/>
              <w:ind w:left="114" w:right="113"/>
              <w:jc w:val="both"/>
              <w:rPr>
                <w:rFonts w:eastAsiaTheme="minorHAnsi"/>
                <w:lang w:eastAsia="en-US"/>
              </w:rPr>
            </w:pPr>
            <w:r w:rsidRPr="002472A5">
              <w:t>2.</w:t>
            </w:r>
            <w:r w:rsidR="00985AEB" w:rsidRPr="002472A5">
              <w:t>8</w:t>
            </w:r>
            <w:r w:rsidRPr="002472A5">
              <w:t xml:space="preserve">. </w:t>
            </w:r>
            <w:r w:rsidR="00431E59" w:rsidRPr="002472A5">
              <w:t xml:space="preserve">Иные сведения о рейтинге, указываемые эмитентом по своему </w:t>
            </w:r>
            <w:r w:rsidR="00600671" w:rsidRPr="002472A5">
              <w:t>усмотрению</w:t>
            </w:r>
            <w:r w:rsidR="00600671" w:rsidRPr="002472A5" w:rsidDel="00431E59">
              <w:t xml:space="preserve">: </w:t>
            </w:r>
            <w:r w:rsidR="00600671" w:rsidRPr="002472A5" w:rsidDel="00431E59">
              <w:rPr>
                <w:b/>
              </w:rPr>
              <w:t>иные</w:t>
            </w:r>
            <w:r w:rsidR="00600671" w:rsidRPr="002472A5">
              <w:rPr>
                <w:b/>
              </w:rPr>
              <w:t xml:space="preserve"> сведения отсутствуют.</w:t>
            </w:r>
          </w:p>
        </w:tc>
      </w:tr>
    </w:tbl>
    <w:p w:rsidR="00BD0AD6" w:rsidRPr="002472A5" w:rsidRDefault="00BD0AD6" w:rsidP="00BD0AD6">
      <w:pPr>
        <w:rPr>
          <w:highlight w:val="yellow"/>
        </w:rPr>
      </w:pPr>
    </w:p>
    <w:tbl>
      <w:tblPr>
        <w:tblpPr w:leftFromText="180" w:rightFromText="180" w:vertAnchor="text" w:horzAnchor="margin"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406"/>
        <w:gridCol w:w="283"/>
        <w:gridCol w:w="1559"/>
        <w:gridCol w:w="397"/>
        <w:gridCol w:w="340"/>
        <w:gridCol w:w="644"/>
        <w:gridCol w:w="1559"/>
        <w:gridCol w:w="284"/>
        <w:gridCol w:w="3543"/>
      </w:tblGrid>
      <w:tr w:rsidR="00B85766" w:rsidRPr="002472A5" w:rsidTr="002A2BB1">
        <w:tc>
          <w:tcPr>
            <w:tcW w:w="10234" w:type="dxa"/>
            <w:gridSpan w:val="10"/>
          </w:tcPr>
          <w:p w:rsidR="00B85766" w:rsidRPr="002472A5" w:rsidRDefault="00B85766" w:rsidP="00B85766">
            <w:pPr>
              <w:jc w:val="center"/>
              <w:rPr>
                <w:b/>
              </w:rPr>
            </w:pPr>
            <w:r w:rsidRPr="002472A5">
              <w:rPr>
                <w:b/>
              </w:rPr>
              <w:t>3. Подпись</w:t>
            </w:r>
          </w:p>
        </w:tc>
      </w:tr>
      <w:tr w:rsidR="00B85766" w:rsidRPr="002472A5" w:rsidTr="002A2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848" w:type="dxa"/>
            <w:gridSpan w:val="7"/>
            <w:tcBorders>
              <w:top w:val="nil"/>
              <w:left w:val="single" w:sz="4" w:space="0" w:color="auto"/>
              <w:bottom w:val="nil"/>
              <w:right w:val="nil"/>
            </w:tcBorders>
          </w:tcPr>
          <w:p w:rsidR="00B2202D" w:rsidRPr="002472A5" w:rsidRDefault="00B85766" w:rsidP="00B2202D">
            <w:pPr>
              <w:ind w:left="85"/>
              <w:rPr>
                <w:b/>
              </w:rPr>
            </w:pPr>
            <w:r w:rsidRPr="002472A5">
              <w:t xml:space="preserve">3.1. </w:t>
            </w:r>
            <w:r w:rsidR="00AA3A13" w:rsidRPr="002472A5">
              <w:rPr>
                <w:b/>
              </w:rPr>
              <w:t>Генеральный директор</w:t>
            </w:r>
          </w:p>
          <w:p w:rsidR="00B85766" w:rsidRPr="002472A5" w:rsidRDefault="00E9355B" w:rsidP="00B2202D">
            <w:pPr>
              <w:ind w:left="85"/>
            </w:pPr>
            <w:r w:rsidRPr="002472A5">
              <w:rPr>
                <w:b/>
              </w:rPr>
              <w:t>А</w:t>
            </w:r>
            <w:r w:rsidR="00D935B7" w:rsidRPr="002472A5">
              <w:rPr>
                <w:b/>
              </w:rPr>
              <w:t>О «</w:t>
            </w:r>
            <w:r w:rsidRPr="002472A5">
              <w:rPr>
                <w:b/>
              </w:rPr>
              <w:t>АВТОБАН-Финанс</w:t>
            </w:r>
            <w:r w:rsidR="00D935B7" w:rsidRPr="002472A5">
              <w:rPr>
                <w:b/>
              </w:rPr>
              <w:t>»</w:t>
            </w:r>
          </w:p>
        </w:tc>
        <w:tc>
          <w:tcPr>
            <w:tcW w:w="1559" w:type="dxa"/>
            <w:tcBorders>
              <w:top w:val="nil"/>
              <w:left w:val="nil"/>
              <w:bottom w:val="single" w:sz="4" w:space="0" w:color="auto"/>
              <w:right w:val="nil"/>
            </w:tcBorders>
          </w:tcPr>
          <w:p w:rsidR="00B85766" w:rsidRPr="002472A5" w:rsidRDefault="00B85766" w:rsidP="00B85766">
            <w:pPr>
              <w:jc w:val="both"/>
            </w:pPr>
          </w:p>
        </w:tc>
        <w:tc>
          <w:tcPr>
            <w:tcW w:w="284" w:type="dxa"/>
            <w:tcBorders>
              <w:top w:val="nil"/>
              <w:left w:val="nil"/>
              <w:bottom w:val="nil"/>
              <w:right w:val="nil"/>
            </w:tcBorders>
          </w:tcPr>
          <w:p w:rsidR="00B85766" w:rsidRPr="002472A5" w:rsidRDefault="00B85766" w:rsidP="00B85766">
            <w:pPr>
              <w:jc w:val="both"/>
            </w:pPr>
          </w:p>
        </w:tc>
        <w:tc>
          <w:tcPr>
            <w:tcW w:w="3543" w:type="dxa"/>
            <w:tcBorders>
              <w:top w:val="nil"/>
              <w:left w:val="nil"/>
              <w:bottom w:val="nil"/>
              <w:right w:val="single" w:sz="4" w:space="0" w:color="auto"/>
            </w:tcBorders>
            <w:vAlign w:val="bottom"/>
          </w:tcPr>
          <w:p w:rsidR="00B85766" w:rsidRPr="002472A5" w:rsidRDefault="00E9355B" w:rsidP="004D6842">
            <w:pPr>
              <w:jc w:val="center"/>
              <w:rPr>
                <w:b/>
              </w:rPr>
            </w:pPr>
            <w:r w:rsidRPr="002472A5">
              <w:rPr>
                <w:b/>
              </w:rPr>
              <w:t>Д.Б. Анисимов</w:t>
            </w:r>
          </w:p>
        </w:tc>
      </w:tr>
      <w:tr w:rsidR="00B85766" w:rsidRPr="002472A5" w:rsidTr="002A2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848" w:type="dxa"/>
            <w:gridSpan w:val="7"/>
            <w:tcBorders>
              <w:top w:val="nil"/>
              <w:left w:val="single" w:sz="4" w:space="0" w:color="auto"/>
              <w:bottom w:val="nil"/>
              <w:right w:val="nil"/>
            </w:tcBorders>
          </w:tcPr>
          <w:p w:rsidR="00B85766" w:rsidRPr="002472A5" w:rsidRDefault="00B85766" w:rsidP="00B85766">
            <w:pPr>
              <w:ind w:left="85"/>
              <w:jc w:val="both"/>
            </w:pPr>
          </w:p>
        </w:tc>
        <w:tc>
          <w:tcPr>
            <w:tcW w:w="1559" w:type="dxa"/>
            <w:tcBorders>
              <w:top w:val="nil"/>
              <w:left w:val="nil"/>
              <w:bottom w:val="nil"/>
              <w:right w:val="nil"/>
            </w:tcBorders>
          </w:tcPr>
          <w:p w:rsidR="00B85766" w:rsidRPr="002472A5" w:rsidRDefault="00B85766" w:rsidP="004D6842">
            <w:pPr>
              <w:jc w:val="center"/>
            </w:pPr>
            <w:r w:rsidRPr="002472A5">
              <w:t>(подпись)</w:t>
            </w:r>
          </w:p>
        </w:tc>
        <w:tc>
          <w:tcPr>
            <w:tcW w:w="284" w:type="dxa"/>
            <w:tcBorders>
              <w:top w:val="nil"/>
              <w:left w:val="nil"/>
              <w:bottom w:val="nil"/>
              <w:right w:val="nil"/>
            </w:tcBorders>
          </w:tcPr>
          <w:p w:rsidR="00B85766" w:rsidRPr="002472A5" w:rsidRDefault="00B85766" w:rsidP="00B85766">
            <w:pPr>
              <w:jc w:val="both"/>
            </w:pPr>
          </w:p>
        </w:tc>
        <w:tc>
          <w:tcPr>
            <w:tcW w:w="3543" w:type="dxa"/>
            <w:tcBorders>
              <w:top w:val="nil"/>
              <w:left w:val="nil"/>
              <w:bottom w:val="nil"/>
              <w:right w:val="single" w:sz="4" w:space="0" w:color="auto"/>
            </w:tcBorders>
          </w:tcPr>
          <w:p w:rsidR="00B85766" w:rsidRPr="002472A5" w:rsidRDefault="00B85766" w:rsidP="00B85766">
            <w:pPr>
              <w:jc w:val="both"/>
            </w:pPr>
          </w:p>
        </w:tc>
      </w:tr>
      <w:tr w:rsidR="00B85766" w:rsidRPr="002472A5" w:rsidTr="002A2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19" w:type="dxa"/>
            <w:tcBorders>
              <w:top w:val="nil"/>
              <w:left w:val="single" w:sz="4" w:space="0" w:color="auto"/>
              <w:bottom w:val="nil"/>
              <w:right w:val="nil"/>
            </w:tcBorders>
            <w:vAlign w:val="bottom"/>
          </w:tcPr>
          <w:p w:rsidR="00B85766" w:rsidRPr="002472A5" w:rsidRDefault="00B85766" w:rsidP="00AA3A13">
            <w:pPr>
              <w:ind w:left="57"/>
              <w:jc w:val="both"/>
            </w:pPr>
            <w:r w:rsidRPr="002472A5">
              <w:t xml:space="preserve">3.2. Дата </w:t>
            </w:r>
            <w:r w:rsidR="00AA3A13" w:rsidRPr="002472A5">
              <w:t>«</w:t>
            </w:r>
          </w:p>
        </w:tc>
        <w:tc>
          <w:tcPr>
            <w:tcW w:w="406" w:type="dxa"/>
            <w:tcBorders>
              <w:top w:val="nil"/>
              <w:left w:val="nil"/>
              <w:bottom w:val="single" w:sz="4" w:space="0" w:color="auto"/>
              <w:right w:val="nil"/>
            </w:tcBorders>
            <w:vAlign w:val="bottom"/>
          </w:tcPr>
          <w:p w:rsidR="00B85766" w:rsidRPr="002472A5" w:rsidRDefault="00934981" w:rsidP="00380E33">
            <w:pPr>
              <w:jc w:val="center"/>
              <w:rPr>
                <w:b/>
              </w:rPr>
            </w:pPr>
            <w:r w:rsidRPr="002472A5">
              <w:rPr>
                <w:b/>
              </w:rPr>
              <w:t>2</w:t>
            </w:r>
            <w:r w:rsidR="00380E33">
              <w:rPr>
                <w:b/>
              </w:rPr>
              <w:t>2</w:t>
            </w:r>
            <w:bookmarkStart w:id="0" w:name="_GoBack"/>
            <w:bookmarkEnd w:id="0"/>
          </w:p>
        </w:tc>
        <w:tc>
          <w:tcPr>
            <w:tcW w:w="283" w:type="dxa"/>
            <w:tcBorders>
              <w:top w:val="nil"/>
              <w:left w:val="nil"/>
              <w:bottom w:val="nil"/>
              <w:right w:val="nil"/>
            </w:tcBorders>
            <w:vAlign w:val="bottom"/>
          </w:tcPr>
          <w:p w:rsidR="00B85766" w:rsidRPr="002472A5" w:rsidRDefault="00AA3A13" w:rsidP="004D6842">
            <w:pPr>
              <w:jc w:val="center"/>
              <w:rPr>
                <w:b/>
              </w:rPr>
            </w:pPr>
            <w:r w:rsidRPr="002472A5">
              <w:rPr>
                <w:b/>
              </w:rPr>
              <w:t>»</w:t>
            </w:r>
          </w:p>
        </w:tc>
        <w:tc>
          <w:tcPr>
            <w:tcW w:w="1559" w:type="dxa"/>
            <w:tcBorders>
              <w:top w:val="nil"/>
              <w:left w:val="nil"/>
              <w:bottom w:val="single" w:sz="4" w:space="0" w:color="auto"/>
              <w:right w:val="nil"/>
            </w:tcBorders>
            <w:vAlign w:val="bottom"/>
          </w:tcPr>
          <w:p w:rsidR="00B85766" w:rsidRPr="002472A5" w:rsidRDefault="00FC4632" w:rsidP="00934981">
            <w:pPr>
              <w:jc w:val="center"/>
              <w:rPr>
                <w:b/>
              </w:rPr>
            </w:pPr>
            <w:r w:rsidRPr="002472A5">
              <w:rPr>
                <w:b/>
              </w:rPr>
              <w:t>декабря</w:t>
            </w:r>
          </w:p>
        </w:tc>
        <w:tc>
          <w:tcPr>
            <w:tcW w:w="397" w:type="dxa"/>
            <w:tcBorders>
              <w:top w:val="nil"/>
              <w:left w:val="nil"/>
              <w:bottom w:val="nil"/>
              <w:right w:val="nil"/>
            </w:tcBorders>
            <w:vAlign w:val="bottom"/>
          </w:tcPr>
          <w:p w:rsidR="00B85766" w:rsidRPr="002472A5" w:rsidRDefault="00B85766" w:rsidP="00B85766">
            <w:pPr>
              <w:jc w:val="both"/>
              <w:rPr>
                <w:b/>
              </w:rPr>
            </w:pPr>
            <w:r w:rsidRPr="002472A5">
              <w:rPr>
                <w:b/>
              </w:rPr>
              <w:t>20</w:t>
            </w:r>
          </w:p>
        </w:tc>
        <w:tc>
          <w:tcPr>
            <w:tcW w:w="340" w:type="dxa"/>
            <w:tcBorders>
              <w:top w:val="nil"/>
              <w:left w:val="nil"/>
              <w:bottom w:val="single" w:sz="4" w:space="0" w:color="auto"/>
              <w:right w:val="nil"/>
            </w:tcBorders>
            <w:vAlign w:val="bottom"/>
          </w:tcPr>
          <w:p w:rsidR="00B85766" w:rsidRPr="002472A5" w:rsidRDefault="00934981" w:rsidP="00934981">
            <w:pPr>
              <w:jc w:val="both"/>
              <w:rPr>
                <w:b/>
              </w:rPr>
            </w:pPr>
            <w:r w:rsidRPr="002472A5">
              <w:rPr>
                <w:b/>
              </w:rPr>
              <w:t>2</w:t>
            </w:r>
            <w:r w:rsidR="00780539" w:rsidRPr="002472A5">
              <w:rPr>
                <w:b/>
              </w:rPr>
              <w:t>2</w:t>
            </w:r>
          </w:p>
        </w:tc>
        <w:tc>
          <w:tcPr>
            <w:tcW w:w="6030" w:type="dxa"/>
            <w:gridSpan w:val="4"/>
            <w:tcBorders>
              <w:top w:val="nil"/>
              <w:left w:val="nil"/>
              <w:bottom w:val="nil"/>
              <w:right w:val="single" w:sz="4" w:space="0" w:color="auto"/>
            </w:tcBorders>
            <w:vAlign w:val="bottom"/>
          </w:tcPr>
          <w:p w:rsidR="00B85766" w:rsidRPr="002472A5" w:rsidRDefault="00B85766" w:rsidP="00B85766">
            <w:pPr>
              <w:tabs>
                <w:tab w:val="left" w:pos="1219"/>
              </w:tabs>
              <w:jc w:val="both"/>
            </w:pPr>
            <w:r w:rsidRPr="002472A5">
              <w:t>г.</w:t>
            </w:r>
            <w:r w:rsidRPr="002472A5">
              <w:tab/>
              <w:t>М.П.</w:t>
            </w:r>
          </w:p>
        </w:tc>
      </w:tr>
      <w:tr w:rsidR="00B85766" w:rsidRPr="002472A5" w:rsidTr="002A2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4" w:type="dxa"/>
            <w:gridSpan w:val="10"/>
            <w:tcBorders>
              <w:top w:val="nil"/>
              <w:left w:val="single" w:sz="4" w:space="0" w:color="auto"/>
              <w:bottom w:val="single" w:sz="4" w:space="0" w:color="auto"/>
              <w:right w:val="single" w:sz="4" w:space="0" w:color="auto"/>
            </w:tcBorders>
          </w:tcPr>
          <w:p w:rsidR="00B85766" w:rsidRPr="002472A5" w:rsidRDefault="00B85766" w:rsidP="00B85766">
            <w:pPr>
              <w:jc w:val="both"/>
            </w:pPr>
          </w:p>
        </w:tc>
      </w:tr>
    </w:tbl>
    <w:p w:rsidR="00B673FC" w:rsidRPr="002472A5" w:rsidRDefault="00B673FC"/>
    <w:sectPr w:rsidR="00B673FC" w:rsidRPr="002472A5" w:rsidSect="00713355">
      <w:pgSz w:w="11906" w:h="16838"/>
      <w:pgMar w:top="850" w:right="567" w:bottom="567" w:left="1134" w:header="397" w:footer="283"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367B"/>
    <w:multiLevelType w:val="hybridMultilevel"/>
    <w:tmpl w:val="FDD0BEDA"/>
    <w:lvl w:ilvl="0" w:tplc="82A0C27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2E1A55"/>
    <w:multiLevelType w:val="hybridMultilevel"/>
    <w:tmpl w:val="EF320EBE"/>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 w15:restartNumberingAfterBreak="0">
    <w:nsid w:val="294746AB"/>
    <w:multiLevelType w:val="hybridMultilevel"/>
    <w:tmpl w:val="9BAC8C06"/>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025675"/>
    <w:multiLevelType w:val="hybridMultilevel"/>
    <w:tmpl w:val="0D28171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1014B"/>
    <w:multiLevelType w:val="hybridMultilevel"/>
    <w:tmpl w:val="A15604EC"/>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5" w15:restartNumberingAfterBreak="0">
    <w:nsid w:val="50E11A85"/>
    <w:multiLevelType w:val="hybridMultilevel"/>
    <w:tmpl w:val="2E18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C60099"/>
    <w:multiLevelType w:val="hybridMultilevel"/>
    <w:tmpl w:val="5B2C2CF2"/>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D6"/>
    <w:rsid w:val="00005011"/>
    <w:rsid w:val="000167CC"/>
    <w:rsid w:val="00020744"/>
    <w:rsid w:val="0003094B"/>
    <w:rsid w:val="0003486C"/>
    <w:rsid w:val="00042811"/>
    <w:rsid w:val="00055C65"/>
    <w:rsid w:val="00064E26"/>
    <w:rsid w:val="00090C5E"/>
    <w:rsid w:val="000B4EDD"/>
    <w:rsid w:val="000C2889"/>
    <w:rsid w:val="000D3C6D"/>
    <w:rsid w:val="000E1CBE"/>
    <w:rsid w:val="001074EB"/>
    <w:rsid w:val="001350D9"/>
    <w:rsid w:val="00143AC6"/>
    <w:rsid w:val="00153BF3"/>
    <w:rsid w:val="0015609D"/>
    <w:rsid w:val="001601C3"/>
    <w:rsid w:val="001653A0"/>
    <w:rsid w:val="001720A0"/>
    <w:rsid w:val="001746A9"/>
    <w:rsid w:val="001C1EBC"/>
    <w:rsid w:val="001C22C4"/>
    <w:rsid w:val="001D2FC6"/>
    <w:rsid w:val="001D5DC1"/>
    <w:rsid w:val="001D7D4E"/>
    <w:rsid w:val="00205041"/>
    <w:rsid w:val="00217D65"/>
    <w:rsid w:val="002326B2"/>
    <w:rsid w:val="002472A5"/>
    <w:rsid w:val="00251DC0"/>
    <w:rsid w:val="002A2BB1"/>
    <w:rsid w:val="002B1B3D"/>
    <w:rsid w:val="002C2C6E"/>
    <w:rsid w:val="002D448A"/>
    <w:rsid w:val="002D44BE"/>
    <w:rsid w:val="00344486"/>
    <w:rsid w:val="00380E33"/>
    <w:rsid w:val="00383E61"/>
    <w:rsid w:val="003C2AD4"/>
    <w:rsid w:val="003D7AA5"/>
    <w:rsid w:val="003F76B3"/>
    <w:rsid w:val="00404C7F"/>
    <w:rsid w:val="00407589"/>
    <w:rsid w:val="00415A3D"/>
    <w:rsid w:val="00424EA0"/>
    <w:rsid w:val="00431E59"/>
    <w:rsid w:val="00453DBD"/>
    <w:rsid w:val="0048275A"/>
    <w:rsid w:val="004916D5"/>
    <w:rsid w:val="0049694B"/>
    <w:rsid w:val="004A32C5"/>
    <w:rsid w:val="004B5D65"/>
    <w:rsid w:val="004C61FC"/>
    <w:rsid w:val="004D063D"/>
    <w:rsid w:val="004D4A9C"/>
    <w:rsid w:val="004D6842"/>
    <w:rsid w:val="004E2261"/>
    <w:rsid w:val="00514EFD"/>
    <w:rsid w:val="0052023E"/>
    <w:rsid w:val="0057732F"/>
    <w:rsid w:val="00580057"/>
    <w:rsid w:val="005B2C7B"/>
    <w:rsid w:val="005B6688"/>
    <w:rsid w:val="005C3E91"/>
    <w:rsid w:val="005E72CE"/>
    <w:rsid w:val="005F02FC"/>
    <w:rsid w:val="005F7EFB"/>
    <w:rsid w:val="00600671"/>
    <w:rsid w:val="006068FA"/>
    <w:rsid w:val="00610C02"/>
    <w:rsid w:val="00612077"/>
    <w:rsid w:val="0062017C"/>
    <w:rsid w:val="00622164"/>
    <w:rsid w:val="006405E2"/>
    <w:rsid w:val="00640E61"/>
    <w:rsid w:val="00643D20"/>
    <w:rsid w:val="006604B9"/>
    <w:rsid w:val="0067109D"/>
    <w:rsid w:val="006838F2"/>
    <w:rsid w:val="006922DC"/>
    <w:rsid w:val="00697FC0"/>
    <w:rsid w:val="006A4774"/>
    <w:rsid w:val="006A5935"/>
    <w:rsid w:val="006C0CE5"/>
    <w:rsid w:val="006C455E"/>
    <w:rsid w:val="006C7D5E"/>
    <w:rsid w:val="006D0725"/>
    <w:rsid w:val="006D7CBA"/>
    <w:rsid w:val="006E198C"/>
    <w:rsid w:val="0071038E"/>
    <w:rsid w:val="00713355"/>
    <w:rsid w:val="007253A5"/>
    <w:rsid w:val="00726B38"/>
    <w:rsid w:val="00730C84"/>
    <w:rsid w:val="00773BA2"/>
    <w:rsid w:val="00780539"/>
    <w:rsid w:val="00786E23"/>
    <w:rsid w:val="007876BB"/>
    <w:rsid w:val="007900F8"/>
    <w:rsid w:val="00791477"/>
    <w:rsid w:val="007C328F"/>
    <w:rsid w:val="007E76DC"/>
    <w:rsid w:val="007F0AF6"/>
    <w:rsid w:val="007F3883"/>
    <w:rsid w:val="00803C5E"/>
    <w:rsid w:val="008126C9"/>
    <w:rsid w:val="0082539C"/>
    <w:rsid w:val="00830760"/>
    <w:rsid w:val="0086235F"/>
    <w:rsid w:val="00865575"/>
    <w:rsid w:val="00884043"/>
    <w:rsid w:val="008912F5"/>
    <w:rsid w:val="008925AD"/>
    <w:rsid w:val="008A4E42"/>
    <w:rsid w:val="008E321C"/>
    <w:rsid w:val="008F7F88"/>
    <w:rsid w:val="00916309"/>
    <w:rsid w:val="0092098F"/>
    <w:rsid w:val="00920D18"/>
    <w:rsid w:val="0092168F"/>
    <w:rsid w:val="00921D95"/>
    <w:rsid w:val="00934981"/>
    <w:rsid w:val="00944FCF"/>
    <w:rsid w:val="00945FB2"/>
    <w:rsid w:val="00952EAF"/>
    <w:rsid w:val="00954D64"/>
    <w:rsid w:val="009629C6"/>
    <w:rsid w:val="00985AEB"/>
    <w:rsid w:val="0099045A"/>
    <w:rsid w:val="00992DA8"/>
    <w:rsid w:val="00993A49"/>
    <w:rsid w:val="009D2521"/>
    <w:rsid w:val="00A0787B"/>
    <w:rsid w:val="00A15095"/>
    <w:rsid w:val="00A17A0C"/>
    <w:rsid w:val="00A37AFA"/>
    <w:rsid w:val="00A44B37"/>
    <w:rsid w:val="00A64BE9"/>
    <w:rsid w:val="00A80986"/>
    <w:rsid w:val="00A85B30"/>
    <w:rsid w:val="00A8717B"/>
    <w:rsid w:val="00A91A34"/>
    <w:rsid w:val="00AA3A13"/>
    <w:rsid w:val="00AB22C6"/>
    <w:rsid w:val="00AC1D61"/>
    <w:rsid w:val="00AC21C8"/>
    <w:rsid w:val="00AD4AEC"/>
    <w:rsid w:val="00AD6E7D"/>
    <w:rsid w:val="00AF699E"/>
    <w:rsid w:val="00AF701A"/>
    <w:rsid w:val="00B219C8"/>
    <w:rsid w:val="00B2202D"/>
    <w:rsid w:val="00B37C04"/>
    <w:rsid w:val="00B43030"/>
    <w:rsid w:val="00B61D26"/>
    <w:rsid w:val="00B661C7"/>
    <w:rsid w:val="00B66289"/>
    <w:rsid w:val="00B673FC"/>
    <w:rsid w:val="00B85766"/>
    <w:rsid w:val="00BA10DF"/>
    <w:rsid w:val="00BA2C02"/>
    <w:rsid w:val="00BC3FB9"/>
    <w:rsid w:val="00BD0AD6"/>
    <w:rsid w:val="00BF3AF2"/>
    <w:rsid w:val="00BF53BC"/>
    <w:rsid w:val="00BF6676"/>
    <w:rsid w:val="00BF68C1"/>
    <w:rsid w:val="00C04F95"/>
    <w:rsid w:val="00C14EA6"/>
    <w:rsid w:val="00C16BD6"/>
    <w:rsid w:val="00C20DA9"/>
    <w:rsid w:val="00C37A63"/>
    <w:rsid w:val="00C4409C"/>
    <w:rsid w:val="00C61E4F"/>
    <w:rsid w:val="00C93D5B"/>
    <w:rsid w:val="00CB7E7D"/>
    <w:rsid w:val="00CD609A"/>
    <w:rsid w:val="00CE3603"/>
    <w:rsid w:val="00CE5676"/>
    <w:rsid w:val="00CE5F84"/>
    <w:rsid w:val="00CF00BE"/>
    <w:rsid w:val="00CF5E52"/>
    <w:rsid w:val="00D00C08"/>
    <w:rsid w:val="00D17ECD"/>
    <w:rsid w:val="00D304BD"/>
    <w:rsid w:val="00D441BE"/>
    <w:rsid w:val="00D60886"/>
    <w:rsid w:val="00D75E7E"/>
    <w:rsid w:val="00D76053"/>
    <w:rsid w:val="00D80CC2"/>
    <w:rsid w:val="00D911FF"/>
    <w:rsid w:val="00D9200D"/>
    <w:rsid w:val="00D935B7"/>
    <w:rsid w:val="00DA5592"/>
    <w:rsid w:val="00DB6C54"/>
    <w:rsid w:val="00DB764F"/>
    <w:rsid w:val="00DC212F"/>
    <w:rsid w:val="00DC46EB"/>
    <w:rsid w:val="00DD4628"/>
    <w:rsid w:val="00DD579D"/>
    <w:rsid w:val="00DE3A8C"/>
    <w:rsid w:val="00DF5556"/>
    <w:rsid w:val="00E05643"/>
    <w:rsid w:val="00E067AA"/>
    <w:rsid w:val="00E10170"/>
    <w:rsid w:val="00E15D33"/>
    <w:rsid w:val="00E32099"/>
    <w:rsid w:val="00E449F0"/>
    <w:rsid w:val="00E721F4"/>
    <w:rsid w:val="00E7443B"/>
    <w:rsid w:val="00E863A1"/>
    <w:rsid w:val="00E9355B"/>
    <w:rsid w:val="00E965D9"/>
    <w:rsid w:val="00EA045A"/>
    <w:rsid w:val="00EA201B"/>
    <w:rsid w:val="00EC24AA"/>
    <w:rsid w:val="00EC28C3"/>
    <w:rsid w:val="00EF28E2"/>
    <w:rsid w:val="00EF2F5D"/>
    <w:rsid w:val="00F03C78"/>
    <w:rsid w:val="00F162CC"/>
    <w:rsid w:val="00F228C2"/>
    <w:rsid w:val="00F9529B"/>
    <w:rsid w:val="00F97359"/>
    <w:rsid w:val="00F97DAE"/>
    <w:rsid w:val="00FA08D5"/>
    <w:rsid w:val="00FA10B6"/>
    <w:rsid w:val="00FB1D21"/>
    <w:rsid w:val="00FB3027"/>
    <w:rsid w:val="00FC4632"/>
    <w:rsid w:val="00FC55DD"/>
    <w:rsid w:val="00FD259A"/>
    <w:rsid w:val="00FE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C77F"/>
  <w15:docId w15:val="{1E3E853A-C75B-4354-90AB-BD4B605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AD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80CC2"/>
    <w:pPr>
      <w:widowControl w:val="0"/>
      <w:adjustRightInd w:val="0"/>
      <w:spacing w:before="108" w:after="108"/>
      <w:jc w:val="center"/>
      <w:outlineLvl w:val="0"/>
    </w:pPr>
    <w:rPr>
      <w:rFonts w:ascii="Arial" w:hAnsi="Arial"/>
      <w:b/>
      <w:bCs/>
      <w:color w:val="000080"/>
      <w:sz w:val="24"/>
      <w:szCs w:val="24"/>
    </w:rPr>
  </w:style>
  <w:style w:type="paragraph" w:styleId="4">
    <w:name w:val="heading 4"/>
    <w:basedOn w:val="a"/>
    <w:next w:val="a"/>
    <w:link w:val="40"/>
    <w:uiPriority w:val="9"/>
    <w:unhideWhenUsed/>
    <w:qFormat/>
    <w:rsid w:val="002A2B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0AD6"/>
    <w:rPr>
      <w:color w:val="0000FF"/>
      <w:u w:val="single"/>
    </w:rPr>
  </w:style>
  <w:style w:type="paragraph" w:customStyle="1" w:styleId="text">
    <w:name w:val="text"/>
    <w:basedOn w:val="a"/>
    <w:uiPriority w:val="99"/>
    <w:rsid w:val="00E067AA"/>
    <w:pPr>
      <w:autoSpaceDE/>
      <w:autoSpaceDN/>
      <w:spacing w:after="150" w:line="225" w:lineRule="atLeast"/>
      <w:ind w:left="225" w:right="45" w:firstLine="225"/>
    </w:pPr>
    <w:rPr>
      <w:rFonts w:ascii="Arial" w:eastAsia="Arial Unicode MS" w:hAnsi="Arial" w:cs="Arial"/>
      <w:color w:val="000000"/>
      <w:sz w:val="18"/>
      <w:szCs w:val="18"/>
    </w:rPr>
  </w:style>
  <w:style w:type="character" w:customStyle="1" w:styleId="SUBST">
    <w:name w:val="__SUBST"/>
    <w:uiPriority w:val="99"/>
    <w:rsid w:val="001746A9"/>
    <w:rPr>
      <w:b/>
      <w:i/>
      <w:sz w:val="22"/>
    </w:rPr>
  </w:style>
  <w:style w:type="paragraph" w:styleId="a4">
    <w:name w:val="List Paragraph"/>
    <w:basedOn w:val="a"/>
    <w:uiPriority w:val="34"/>
    <w:qFormat/>
    <w:rsid w:val="007F0AF6"/>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
    <w:name w:val="Знак3"/>
    <w:basedOn w:val="a"/>
    <w:uiPriority w:val="99"/>
    <w:rsid w:val="007876BB"/>
    <w:pPr>
      <w:tabs>
        <w:tab w:val="num" w:pos="720"/>
      </w:tabs>
      <w:autoSpaceDE/>
      <w:autoSpaceDN/>
      <w:spacing w:after="160" w:line="240" w:lineRule="exact"/>
      <w:ind w:left="720" w:hanging="720"/>
      <w:jc w:val="both"/>
    </w:pPr>
    <w:rPr>
      <w:rFonts w:ascii="Verdana" w:hAnsi="Verdana" w:cs="Verdana"/>
      <w:lang w:val="en-US" w:eastAsia="en-US"/>
    </w:rPr>
  </w:style>
  <w:style w:type="paragraph" w:customStyle="1" w:styleId="ConsPlusNonformat">
    <w:name w:val="ConsPlusNonformat"/>
    <w:rsid w:val="00D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3A13"/>
    <w:pPr>
      <w:autoSpaceDE w:val="0"/>
      <w:autoSpaceDN w:val="0"/>
      <w:adjustRightInd w:val="0"/>
      <w:spacing w:after="0" w:line="240" w:lineRule="auto"/>
    </w:pPr>
    <w:rPr>
      <w:rFonts w:ascii="Arial" w:hAnsi="Arial" w:cs="Arial"/>
      <w:b/>
      <w:bCs/>
      <w:sz w:val="20"/>
      <w:szCs w:val="20"/>
    </w:rPr>
  </w:style>
  <w:style w:type="paragraph" w:styleId="a5">
    <w:name w:val="No Spacing"/>
    <w:uiPriority w:val="99"/>
    <w:qFormat/>
    <w:rsid w:val="00E05643"/>
    <w:pPr>
      <w:spacing w:after="0" w:line="240" w:lineRule="auto"/>
    </w:pPr>
    <w:rPr>
      <w:rFonts w:ascii="Calibri" w:eastAsia="Calibri" w:hAnsi="Calibri" w:cs="Times New Roman"/>
    </w:rPr>
  </w:style>
  <w:style w:type="character" w:styleId="a6">
    <w:name w:val="annotation reference"/>
    <w:basedOn w:val="a0"/>
    <w:uiPriority w:val="99"/>
    <w:semiHidden/>
    <w:unhideWhenUsed/>
    <w:rsid w:val="001720A0"/>
    <w:rPr>
      <w:sz w:val="16"/>
      <w:szCs w:val="16"/>
    </w:rPr>
  </w:style>
  <w:style w:type="paragraph" w:styleId="a7">
    <w:name w:val="annotation text"/>
    <w:basedOn w:val="a"/>
    <w:link w:val="a8"/>
    <w:uiPriority w:val="99"/>
    <w:semiHidden/>
    <w:unhideWhenUsed/>
    <w:rsid w:val="001720A0"/>
  </w:style>
  <w:style w:type="character" w:customStyle="1" w:styleId="a8">
    <w:name w:val="Текст примечания Знак"/>
    <w:basedOn w:val="a0"/>
    <w:link w:val="a7"/>
    <w:uiPriority w:val="99"/>
    <w:semiHidden/>
    <w:rsid w:val="001720A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1720A0"/>
    <w:rPr>
      <w:b/>
      <w:bCs/>
    </w:rPr>
  </w:style>
  <w:style w:type="character" w:customStyle="1" w:styleId="aa">
    <w:name w:val="Тема примечания Знак"/>
    <w:basedOn w:val="a8"/>
    <w:link w:val="a9"/>
    <w:uiPriority w:val="99"/>
    <w:semiHidden/>
    <w:rsid w:val="001720A0"/>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1720A0"/>
    <w:rPr>
      <w:rFonts w:ascii="Tahoma" w:hAnsi="Tahoma" w:cs="Tahoma"/>
      <w:sz w:val="16"/>
      <w:szCs w:val="16"/>
    </w:rPr>
  </w:style>
  <w:style w:type="character" w:customStyle="1" w:styleId="ac">
    <w:name w:val="Текст выноски Знак"/>
    <w:basedOn w:val="a0"/>
    <w:link w:val="ab"/>
    <w:uiPriority w:val="99"/>
    <w:semiHidden/>
    <w:rsid w:val="001720A0"/>
    <w:rPr>
      <w:rFonts w:ascii="Tahoma" w:eastAsia="Times New Roman" w:hAnsi="Tahoma" w:cs="Tahoma"/>
      <w:sz w:val="16"/>
      <w:szCs w:val="16"/>
      <w:lang w:eastAsia="ru-RU"/>
    </w:rPr>
  </w:style>
  <w:style w:type="paragraph" w:customStyle="1" w:styleId="11">
    <w:name w:val="Неформальный1"/>
    <w:rsid w:val="00CE5676"/>
    <w:pPr>
      <w:spacing w:before="60" w:after="60" w:line="240" w:lineRule="auto"/>
    </w:pPr>
    <w:rPr>
      <w:rFonts w:ascii="Times New Roman" w:eastAsia="Times New Roman" w:hAnsi="Times New Roman" w:cs="Times New Roman"/>
      <w:noProof/>
      <w:sz w:val="20"/>
      <w:szCs w:val="20"/>
      <w:lang w:eastAsia="ru-RU"/>
    </w:rPr>
  </w:style>
  <w:style w:type="character" w:customStyle="1" w:styleId="10">
    <w:name w:val="Заголовок 1 Знак"/>
    <w:basedOn w:val="a0"/>
    <w:link w:val="1"/>
    <w:uiPriority w:val="99"/>
    <w:rsid w:val="00D80CC2"/>
    <w:rPr>
      <w:rFonts w:ascii="Arial" w:eastAsia="Times New Roman" w:hAnsi="Arial" w:cs="Times New Roman"/>
      <w:b/>
      <w:bCs/>
      <w:color w:val="000080"/>
      <w:sz w:val="24"/>
      <w:szCs w:val="24"/>
      <w:lang w:eastAsia="ru-RU"/>
    </w:rPr>
  </w:style>
  <w:style w:type="paragraph" w:styleId="ad">
    <w:name w:val="Revision"/>
    <w:hidden/>
    <w:uiPriority w:val="99"/>
    <w:semiHidden/>
    <w:rsid w:val="007C328F"/>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2A2BB1"/>
    <w:rPr>
      <w:rFonts w:asciiTheme="majorHAnsi" w:eastAsiaTheme="majorEastAsia" w:hAnsiTheme="majorHAnsi" w:cstheme="majorBidi"/>
      <w:b/>
      <w:bCs/>
      <w:i/>
      <w:iCs/>
      <w:color w:val="4F81BD" w:themeColor="accent1"/>
      <w:sz w:val="20"/>
      <w:szCs w:val="20"/>
      <w:lang w:eastAsia="ru-RU"/>
    </w:rPr>
  </w:style>
  <w:style w:type="character" w:customStyle="1" w:styleId="hl">
    <w:name w:val="hl"/>
    <w:basedOn w:val="a0"/>
    <w:rsid w:val="002A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sclosure.ru/portal/company.aspx?id=35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456C-73C0-4F55-9A55-F5139BFF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FC Otkritie</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Smakaev, Robert</dc:creator>
  <cp:lastModifiedBy>Нурияхметова Светлана Владимировна</cp:lastModifiedBy>
  <cp:revision>2</cp:revision>
  <cp:lastPrinted>2020-12-28T11:21:00Z</cp:lastPrinted>
  <dcterms:created xsi:type="dcterms:W3CDTF">2022-12-22T10:22:00Z</dcterms:created>
  <dcterms:modified xsi:type="dcterms:W3CDTF">2022-12-22T10:22:00Z</dcterms:modified>
</cp:coreProperties>
</file>